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3: Superando a Lacuna no Acesso à Energia.  </w:t>
      </w:r>
    </w:p>
    <w:p>
      <w:r>
        <w:t xml:space="preserve">Neste capítulo, discutiremos ações específicas que podem nos ajudar a construir sistemas energéticos centrados no bem-estar, sustentabilidade e justiça. Também abordaremos como inovações, políticas, parcerias e abordagens comunitárias podem nos levar até lá.  </w:t>
      </w:r>
    </w:p>
    <w:p>
      <w:r>
        <w:t xml:space="preserve">Examinaremos como uma abordagem interseccional—considerando gênero, etnia, condição socioeconômica e geografia—pode transformar as políticas energéticas para serem mais inclusivas. Por exemplo, aplicar dados desagregados e engajamento comunitário direcionado pode melhorar significativamente o acesso para grupos marginalizados.  </w:t>
      </w:r>
    </w:p>
    <w:p>
      <w:r>
        <w:t xml:space="preserve">Também focaremos em soluções tecnológicas, como mini-redes solares. As mini-redes solares podem fornecer eletricidade de alta qualidade e ininterrupta a quase meio bilhão de pessoas em comunidades sem energia ou subatendidas até 2030.  </w:t>
      </w:r>
    </w:p>
    <w:p>
      <w:r>
        <w:t xml:space="preserve">Depois, discutiremos como mecanismos de financiamento—como modelos de pagamento conforme o uso e microfinanciamentos—podem ajudar a tornar os serviços energéticos acessíveis a famílias de baixa renda, agricultores e empreendedores.  </w:t>
      </w:r>
    </w:p>
    <w:p>
      <w:r>
        <w:t xml:space="preserve">Estruturas políticas eficazes—por meio de reformas regulatórias, subsídios direcionados e incentivos fiscais—são igualmente essenciais. Por exemplo, países como o Brasil expandiram com sucesso o acesso por meio de redes de segurança energética e outras políticas sociais.  </w:t>
      </w:r>
    </w:p>
    <w:p>
      <w:r>
        <w:t xml:space="preserve">Por fim, exploraremos como ferramentas digitais e inteligência artificial estão revolucionando a forma como planejamos, gerenciamos e otimizamos os sistemas energéticos. Plataformas de dados geoespaciais permitem o direcionamento preciso de áreas subatendidas, enquanto a gestão alimentada por IA melhora a resiliência e eficiência do sistema.  </w:t>
      </w:r>
    </w:p>
    <w:p>
      <w:r>
        <w:t>Em resumo, superar a lacuna no acesso à energia exige estratégias integradas—combinando tecnologia, políticas inclusivas, financiamento inovador e soluções digitais—que foquem em alcançar os mais vulneráveis. Este capítulo irá guiá-lo por essas oportunidades, ilustrando como esforços coordenados podem transformar ambições em ações e realmente deixar ninguém para trás.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