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Setor Público e Financiamento de Energia Sustentável.  </w:t>
      </w:r>
    </w:p>
    <w:p>
      <w:r>
        <w:t xml:space="preserve">Neste capítulo, exploramos como a ação pública sustenta a transição para uma energia limpa, especialmente em regiões onde o capital privado é escasso. Em todo o mundo, governos e instituições financeiras públicas não apenas financiam projetos, mas também criam as políticas facilitadoras que tornam possível o investimento em energia sustentável.  </w:t>
      </w:r>
    </w:p>
    <w:p>
      <w:r>
        <w:t xml:space="preserve">O compromisso forte do setor público é essencial para implementar políticas climáticas ambiciosas, atrair investimento privado e fechar a enorme lacuna de financiamento. Países como Marrocos ilustram essa abordagem: políticas direcionadas, empréstimos concessionais e financiamento combinado apoiaram grandes complexos solares como o Noor Ouarzazate, demonstrando como fundos públicos podem catalisar a participação privada e gerar benefícios locais.  </w:t>
      </w:r>
    </w:p>
    <w:p>
      <w:r>
        <w:t xml:space="preserve">Um elemento-chave é a reforma regulatória e fiscal. Eliminar subsídios aos combustíveis fósseis — que distorcem os mercados, drenam os orçamentos públicos e atrasam a adoção de renováveis — libera recursos para projetos de energia limpa. Quando combinado com transferências de dinheiro direcionadas ou proteção social, a reforma de subsídios pode proteger famílias vulneráveis enquanto redireciona gastos para investimentos que promovem metas climáticas e de desenvolvimento.  </w:t>
      </w:r>
    </w:p>
    <w:p>
      <w:r>
        <w:t xml:space="preserve">Outra área essencial é a gestão de riscos. Governos e instituições de financiamento ao desenvolvimento estão cada vez mais usando avaliações de risco fiscal e testes de estresse para identificar vulnerabilidades, antecipar choques de mercado e fortalecer a gestão de investimentos públicos. Essas ferramentas ajudam a garantir que projetos de energia renovável permaneçam financeiramente estáveis e resilientes ao longo do tempo.  </w:t>
      </w:r>
    </w:p>
    <w:p>
      <w:r>
        <w:t xml:space="preserve">Juntos, essas estratégias — investimento público estratégico, quadros políticos sólidos e mitigação proativa de riscos — formam a espinha dorsal do financiamento de energia sustentável. Elas reduzem a incerteza, atraem capital privado e aceleram a transição em larga escala necessária para um futuro justo e de baixo carbono.  </w:t>
      </w:r>
    </w:p>
    <w:p>
      <w:r>
        <w:t>Fique conosco enquanto desvendamos esses mecanismos e mostramos como o financiamento público pode transformar ambição em 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