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Bem-vindo ao capítulo três: “Instrumentos e Ferramentas-Chave de Políticas de Energia Sustentável.”  </w:t>
      </w:r>
    </w:p>
    <w:p>
      <w:r>
        <w:t xml:space="preserve">A transição para uma energia sustentável não se trata apenas de novas tecnologias. Trata-se de usar as ferramentas políticas certas para orientar investimentos, proteger as pessoas e o planeta, e tornar possíveis metas climáticas de longo prazo. Este capítulo apresenta como os governos combinam diferentes tipos de instrumentos em uma estratégia coerente.  </w:t>
      </w:r>
    </w:p>
    <w:p>
      <w:r>
        <w:t xml:space="preserve">Começamos pelo planejamento estratégico. Os países estabelecem visões e metas para energia limpa, eficiência, transporte ou cozinhar de forma limpa através de planos nacionais e estratégias de longo prazo. Esses planos funcionam como uma bússola: traduzem compromissos globais, como o Acordo de Paris, em prioridades domésticas e oferecem aos investidores, concessionárias e comunidades um senso claro de direção.  </w:t>
      </w:r>
    </w:p>
    <w:p>
      <w:r>
        <w:t xml:space="preserve">Mas os planos por si só não são suficientes. As regulamentações fornecem a certeza que os mercados precisam. Normas para emissões, edifícios, aparelhos ou participação de energias renováveis garantem um nível mínimo de desempenho, eliminam práticas prejudiciais e orientam onde e como a infraestrutura é construída. Quando bem elaboradas, essas regras equilibram metas ambientais com justiça social e inovação.  </w:t>
      </w:r>
    </w:p>
    <w:p>
      <w:r>
        <w:t xml:space="preserve">Junto às regulamentações, os governos dependem cada vez mais de incentivos econômicos. Em vez de prescrever como cumprir, instrumentos baseados no mercado, como precificação de carbono, comércio de emissões ou tarifas de feed-in, usam preços e competição para revelar as soluções mais econômicas, recompensar tecnologias limpas e atrair capital privado.  </w:t>
      </w:r>
    </w:p>
    <w:p>
      <w:r>
        <w:t xml:space="preserve">Por fim, mesmo as melhores políticas precisam ser traduzidas em projetos financiáveis. Ferramentas contratuais, como acordos de compra de energia de longo prazo ou parcerias público-privadas, distribuem riscos, garantem financiamento e asseguram que os projetos cumpram promessas sociais e ambientais.  </w:t>
      </w:r>
    </w:p>
    <w:p>
      <w:r>
        <w:t>Juntos, esses instrumentos formam um conjunto de ferramentas para gerenciar a transição energética. Quando combinados de forma inteligente, transformam ambições climáticas abstratas em ações concretas e investíveis que oferecem energia acessível, confiável e justa para todos.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