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3: Energia Sustentável para a Adaptação ao Clima.  </w:t>
      </w:r>
    </w:p>
    <w:p>
      <w:r>
        <w:t xml:space="preserve">No capítulo anterior, exploramos caminhos de mitigação — como reduzir as emissões. Neste capítulo, mudamos o foco para o outro lado da equação climática: adaptar-se aos impactos que já estão aqui. Veremos como as mudanças climáticas ameaçam os sistemas de energia e o acesso a eles, e como construir resiliência pode proteger comunidades, economias e a própria transição.  </w:t>
      </w:r>
    </w:p>
    <w:p>
      <w:r>
        <w:t xml:space="preserve">Começaremos mapeando os riscos. O calor extremo pode reduzir a eficiência das usinas de energia, sobrecarregar as redes durante picos de demanda e estressar as linhas de transmissão. Inundações, tempestades e o aumento do nível do mar ameaçam refinarias costeiras, oleodutos e usinas de energia. Secas podem reduzir a produção hidrelétrica e a água de resfriamento para usinas térmicas. Ao examinar esses riscos físicos juntos, veremos onde os sistemas de energia são mais vulneráveis.  </w:t>
      </w:r>
    </w:p>
    <w:p>
      <w:r>
        <w:t xml:space="preserve">Em seguida, exploraremos estratégias de adaptação. Discutiremos o design de infraestrutura resiliente ao clima, desde a elevação de subestações até o fortalecimento das redes. Analisaremos a diversificação das fontes de energia para reduzir a dependência de um único combustível ou local, e soluções descentralizadas e fora da rede que mantêm o fornecimento de energia quando as redes centralizadas falham. Integrar o risco climático no planejamento energético e nas decisões de investimento será um tema recorrente.  </w:t>
      </w:r>
    </w:p>
    <w:p>
      <w:r>
        <w:t xml:space="preserve">Depois, abordaremos como sistemas de energia resilientes podem melhorar a adaptação mais ampla — fornecendo energia para hospitais e centros de resfriamento durante ondas de calor, apoiando a irrigação em períodos de seca e possibilitando a resposta e recuperação em desastres.  </w:t>
      </w:r>
    </w:p>
    <w:p/>
    <w:p>
      <w:r>
        <w:t xml:space="preserve">Por fim, examinaremos a necessidade de coerência política, coordenação intersetorial e colaboração. Os Planos Nacionais de Adaptação devem integrar as prioridades do setor de energia, e as estratégias energéticas devem antecipar futuros perigos climáticos. Alinhar orçamentos, fluxos de financiamento climático, esquemas de seguro e títulos de resiliência sob uma única estrutura evita fragmentação e fornece um sinal claro para investidores, concessionárias e comunidades. Igualmente importante, essa coordenação deve incluir as vozes dos grupos vulneráveis para garantir que as medidas de adaptação sejam justas, inclusivas e eficazes.  </w:t>
      </w:r>
    </w:p>
    <w:p>
      <w:r>
        <w:t>Vamos mergulhar e explorar como tornar os sistemas de energia preparados para o clima.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