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3, com foco em como a inovação impulsiona um futuro energético sustentável. As tecnologias de energia renovável estão avançando rapidamente, mas o ritmo de adoção ainda varia amplamente entre regiões. Desafios permanecem, especialmente em países em desenvolvimento, onde os ecossistemas de inovação locais muitas vezes são subdesenvolvidos. Construir esses ecossistemas é fundamental—focando na adaptação tecnológica, apoiando empreendedores e promovendo a colaboração institucional.  </w:t>
      </w:r>
    </w:p>
    <w:p>
      <w:r>
        <w:t xml:space="preserve">A política desempenha um papel crucial. Mecanismos eficazes, como compromissos nacionais de clima, precificação de carbono e eliminação de subsídios aos combustíveis fósseis, são essenciais para acelerar a implantação. Por exemplo, países que implementam tarifas de feed-in ou padrões de portfólio de energia renovável têm visto aumentos consideráveis na capacidade de energia limpa.  </w:t>
      </w:r>
    </w:p>
    <w:p>
      <w:r>
        <w:t xml:space="preserve">As estratégias industriais são igualmente importantes. Escalar inovações requer parcerias estratégicas—entre startups, investidores e formuladores de políticas—apoiadas por políticas facilitadoras e financiamento combinado. Essa abordagem é vital em regiões onde lacunas de financiamento e barreiras técnicas dificultam o progresso.  </w:t>
      </w:r>
    </w:p>
    <w:p>
      <w:r>
        <w:t xml:space="preserve">O desenvolvimento da força de trabalho é outro componente-chave. Programas de requalificação, promoção da inclusão de gênero e compartilhamento de conhecimento garantem que a transição seja justa e equitativa. Envolver comunidades locais e capacitar trabalhadores pode desbloquear o potencial completo das tecnologias renováveis.  </w:t>
      </w:r>
    </w:p>
    <w:p>
      <w:r>
        <w:t>No geral, este capítulo mostrou que a transição energética é um esforço coletivo—impulsionado por políticas, inovação e ações inclusivas. As escolhas feitas hoje irão moldar se essa transição será justa, resiliente e sustentável para todos. Agora é o momento de transformar conhecimento em 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