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3: O Framework DREI.  </w:t>
      </w:r>
    </w:p>
    <w:p>
      <w:r>
        <w:t xml:space="preserve">Como os países podem reduzir sistematicamente os riscos de investimento e acelerar a implantação de energias renováveis? Neste capítulo, fazemos uma jornada prática pelo framework DREI, guiando você passo a passo pelos seus componentes principais e aplicações.  </w:t>
      </w:r>
    </w:p>
    <w:p>
      <w:r>
        <w:t xml:space="preserve">Começamos explorando como avaliar o ambiente de risco para projetos de energia renovável, usando análise estruturada e engajamento das partes interessadas para identificar as barreiras mais relevantes. Você aprenderá como a metodologia DREI ajuda a mapear esses riscos, quantificar seu impacto nos custos de financiamento e priorizar onde as ações são necessárias.  </w:t>
      </w:r>
    </w:p>
    <w:p>
      <w:r>
        <w:t xml:space="preserve">Em seguida, apresentamos o conjunto de instrumentos públicos—reformas de políticas, garantias financeiras e incentivos direcionados—que governos e parceiros podem usar para enfrentar esses riscos. Você verá como essas intervenções são selecionadas, modeladas e avaliadas quanto à sua eficácia em reduzir o custo de capital e tornar os projetos mais viáveis.  </w:t>
      </w:r>
    </w:p>
    <w:p>
      <w:r>
        <w:t xml:space="preserve">Ao longo deste capítulo, você encontrará estudos de caso aplicados e análises de cenários que ilustram como o framework DREI pode ser aplicado em diferentes contextos. Esses exemplos demonstram como os riscos e custos de investimento podem ser reduzidos por meio de intervenções direcionadas, oferecendo insights valiosos para políticas e planejamento.  </w:t>
      </w:r>
    </w:p>
    <w:p>
      <w:r>
        <w:t>Ao final deste capítulo, você entenderá como a teoria se transforma em prática—e como o framework DREI capacita os tomadores de decisão a desenvolver estratégias baseadas em evidências para um futuro resiliente e de baixo carbono.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