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В этом уроке мы рассмотрим не только идеи — но и их реализацию. Вы узнаете, как инклюзивные, адаптивные стратегии могут помочь масштабировать устойчивые энергетические решения, которые работают для людей и планеты одновременно.  </w:t>
      </w:r>
    </w:p>
    <w:p>
      <w:r>
        <w:t xml:space="preserve">От планирования на основе экосистем до образования в области устойчивого развития и решений, основанных на природе, мы изучим инструменты, позволяющие странам и сообществам внедрять инновации в масштабах — при этом оставаясь в рамках местного контекста.  </w:t>
      </w:r>
    </w:p>
    <w:p>
      <w:r>
        <w:t xml:space="preserve">Вы также узнаете, как изменение поведения, финансирование и сотрудничество между секторами могут ускорить повышение энергоэффективности — особенно когда усилия адаптированы к уникальным потребностям каждого места.  </w:t>
      </w:r>
    </w:p>
    <w:p>
      <w:r>
        <w:t>Будь то умный счетчик в городской квартире или зеленая крыша в сельской деревне, преобразование происходит через коллективные действия. Давайте исследуем, как мы можем масштабировать это — устойчиво и справедливо.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