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2: Текущий статус, тенденции и барьеры на пути к энергетическому доступу.  </w:t>
      </w:r>
    </w:p>
    <w:p>
      <w:r>
        <w:t xml:space="preserve">Сегодня мы рассмотрим текущий статус энергетического доступа, тенденции, которые определят будущее энергетического доступа, и ключевые проблемы, мешающие достижению универсального доступа.  </w:t>
      </w:r>
    </w:p>
    <w:p>
      <w:r>
        <w:t xml:space="preserve">Глава начинается с картографирования географии пробелов в энергетическом доступе — по регионам, сельским и городским зонам, уязвимым условиям и неформальным поселениям — и углубляется в слоистую реальность, формирующую энергетическую бедность, от недостаточной инфраструктуры до социально-экономической исключенности.  </w:t>
      </w:r>
    </w:p>
    <w:p>
      <w:r>
        <w:t xml:space="preserve">Глава также выходит за рамки электроэнергии, подчеркивая срочную необходимость в чистом приготовлении пищи, отоплении и охлаждении. Например, по состоянию на 2023 год только 74% мирового населения имели доступ к чистому приготовлению пищи.  </w:t>
      </w:r>
    </w:p>
    <w:p>
      <w:r>
        <w:t xml:space="preserve">Мы также обсудим некоторые ключевые барьеры на пути прогресса, включая недостаточную инфраструктуру, нарушения в цепочках поставок, искаженную распределение инвестиций и неэффективность политики или управления.  </w:t>
      </w:r>
    </w:p>
    <w:p>
      <w:r>
        <w:t xml:space="preserve">Решение этих проблем требует индивидуальных подходов — укрепления инфраструктуры, стимулирования инвестиций в целевые области и разработки политик, ориентированных на инклюзию и доступность. Только через комплексные, контекстуально-специфические стратегии мы сможем приблизиться к цели достижения универсального, устойчивого энергетического доступа к 2030 году.  </w:t>
      </w:r>
    </w:p>
    <w:p>
      <w:r>
        <w:t>Эта глава создает основу для понимания того, где сегодня находится мир — и возможностей развития, которые открываются для сокращения энергетического разрыва.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