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Добро пожаловать в Глава 3: Самолет JET, сохраняющий природу и стимулирующий экономический рост.</w:t>
      </w:r>
    </w:p>
    <w:p>
      <w:r>
        <w:t>Честный переход к возобновляемым источникам энергии может сделать больше, чем просто снизить выбросы — он может стимулировать устойчивое развитие и экономический рост, особенно в странах, богатых ресурсами.</w:t>
      </w:r>
    </w:p>
    <w:p>
      <w:r>
        <w:t>Спрос на критические минералы, такие как литий, кобальт и редкоземельные элементы, растет. Глобальные инвестиции в их разработку увеличились на 30% в 2022 году и на 10% в 2023 году, что обусловлено развитием возобновляемых технологий, таких как аккумуляторы, ветряные турбины и солнечные панели. Для стран, богатых ресурсами, это открывает большие экономические возможности — но также и риски. Добыча сосредоточена в определенных регионах, более половины — на землях коренных народов, что вызывает опасения по поводу экологического ущерба и социальных последствий. Необходимы строгие стандарты, ответственность и международное сотрудничество.</w:t>
      </w:r>
    </w:p>
    <w:p>
      <w:r>
        <w:t>Региональное сотрудничество также может помочь. Объединяя ресурсы и развивая местную промышленность, страны могут перейти от экспорта к секторам с добавленной стоимостью, таким как переработка и производство аккумуляторов. Например, Марокко и Египет позиционируют себя как центры возобновляемого производства.</w:t>
      </w:r>
    </w:p>
    <w:p>
      <w:r>
        <w:t>В то же время, возобновляемые источники энергии создают экологические вызовы. Ветровая и солнечная энергия выделяют до 90% меньше парниковых газов за весь жизненный цикл, но ветровые электростанции могут нарушать миграцию птиц, производство солнечных панелей использует опасные материалы, а переработка остается ограниченной. Крупные гидроэнергетические проекты, хотя и низкоэмиссионные, могут вредить речным экосистемам, если ими управлять неправильно.</w:t>
      </w:r>
    </w:p>
    <w:p>
      <w:r>
        <w:t>Требуется комплексный подход — такой, который максимизирует климатические преимущества возобновляемых источников энергии и минимизирует непреднамеренный экологический ущерб. Продвигая цепочку создания стоимости и инвестируя в отрасли downstream, развивающиеся страны могут создавать рабочие места, сокращать издержки и строить более устойчивую экономику.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