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4: Стратегическое управление и модели партнерства для справедливых энергетических переходов.  </w:t>
      </w:r>
    </w:p>
    <w:p>
      <w:r>
        <w:t xml:space="preserve">Справедливое и устойчивое изменение энергетики требует больше, чем технологий — оно требует сильного управления, инклюзивных политик и финансирования, ориентированного на равенство.  </w:t>
      </w:r>
    </w:p>
    <w:p>
      <w:r>
        <w:t xml:space="preserve">Подход ПРООН включает инклюзивность в национальные стратегии, такие как энергетические планы и климатические обязательства, обеспечивая участие уязвимых групп — включая женщин, молодежь и неформальных работников — в преимуществах. Инструменты, основанные на данных, такие как Модель оценки зеленых рабочих мест, помогают правительствам предвидеть последствия и разрабатывать меры, защищающие сообщества.  </w:t>
      </w:r>
    </w:p>
    <w:p>
      <w:r>
        <w:t xml:space="preserve">Демократия в энергетике подчеркивает участие граждан в управлении, где сообщества имеют голос и равный доступ к ресурсам. В Пуэрто-Рико проекты, реализуемые сообществами, такие как переоборудованные гидроэлектростанции, показывают, как местная собственность может повысить устойчивость при поддержке соответствующих политик.  </w:t>
      </w:r>
    </w:p>
    <w:p>
      <w:r>
        <w:t xml:space="preserve">Партнерства по справедливому энергетическому переходу мобилизуют государственные и частные финансы для поэтапного отказа от угля и модернизации сетей. Например, в Индонезии специальные рабочие группы помогают согласовать финансирование с местными приоритетами, делая акцент на прозрачности и социальной справедливости.  </w:t>
      </w:r>
    </w:p>
    <w:p>
      <w:r>
        <w:t>Вместе управление и партнерства — это основа справедливого перехода, объединяющего климатические цели с равенством, возможностями и устойчивостью.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