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4: Финансирование справедливого энергетического перехода  </w:t>
      </w:r>
    </w:p>
    <w:p>
      <w:r>
        <w:t xml:space="preserve">Глобальные инвестиции в низкоуглеродную энергию быстро растут — более двух триллионов долларов США только в 2024 году — однако всё ещё значительно ниже необходимого уровня для достижения международных климатических целей. Более половины населения мира живёт в странах с развивающейся экономикой и на рынках, находящихся в стадии развития, но эти регионы привлекают лишь небольшую часть инвестиций в чистую энергию. Закрытие этого разрыва крайне важно для предотвращения застревания в использовании ископаемого топлива, снижения неравенства и достижения справедливого энергетического перехода.  </w:t>
      </w:r>
    </w:p>
    <w:p>
      <w:r>
        <w:t xml:space="preserve">Этот модуль вооружит вас знаниями и инструментами для понимания и формирования финансового ландшафта, стоящего за этим переходом. Вы изучите, как глобальные потоки инвестиций, рыночная динамика и технологические тренды меняют устойчивое финансирование энергетики — и почему важны банковская привлекательность, регуляторная определённость и диверсифицированные цепочки поставок для достижения успеха. Вы рассмотрите, как действия государственного сектора создают основу через стратегические инвестиции, реформу субсидий, управление рисками и поддерживающие политики, привлекающие частный капитал и защищающие уязвимые группы.  </w:t>
      </w:r>
    </w:p>
    <w:p>
      <w:r>
        <w:t xml:space="preserve">Вы также изучите, как снижение рисков, смешанное финансирование и регуляторные реформы могут разблокировать триллионы необходимого частного капитала, особенно в рынках с высоким потенциалом, но недостаточно обслуживаемых. Затем мы погрузимся в инновационные финансовые инструменты — зелёные и устойчивые облигации, обмен долгов на энергию, ценообразование на углерод и новые цифровые инструменты, которые меняют способы финансирования и мониторинга проектов в области возобновляемой энергетики. В конце мы выделим межотраслевые приоритеты: создание эффективных партнерств между правительствами, инвесторами и международными организациями, а также внедрение инклюзии — особенно гендерного равенства — на каждом этапе инвестирования, чтобы переход приносил пользу всем.  </w:t>
      </w:r>
    </w:p>
    <w:p>
      <w:r>
        <w:t xml:space="preserve">Вместе эти элементы дают целостное представление о том, как взаимодействуют политика, государственное финансирование, частные инвестиции и инновации для масштабного продвижения устойчивых энергетических решений. К концу вы сможете анализировать глобальные тренды, оценивать механизмы финансирования и разрабатывать стратегии, мобилизующие ресурсы для низкоуглеродного и справедливого энергетического будущего.  </w:t>
      </w:r>
    </w:p>
    <w:p>
      <w:r>
        <w:t>Давайте начнём путешествие!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