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4: Инновационные финансовые инструменты для возобновляемой энергетики  </w:t>
      </w:r>
    </w:p>
    <w:p>
      <w:r>
        <w:t xml:space="preserve">Финансирование энергетического перехода требует механизмов, способных мобилизовать сотни миллиардов ежегодно. Инновационные инструменты меняют способы притока капитала в устойчивую энергию.  </w:t>
      </w:r>
    </w:p>
    <w:p>
      <w:r>
        <w:t xml:space="preserve">Тематические облигации — зеленые, социальные и устойчивые — направляют средства на проекты с измеримыми результатами. В 2022 году глобальный выпуск зеленых облигаций превысил 500 миллиардов долларов США, а такие рамки, как Принципы зеленых облигаций, обеспечивают прозрачность и доверие инвесторов.  </w:t>
      </w:r>
    </w:p>
    <w:p>
      <w:r>
        <w:t xml:space="preserve">Механизмы ценообразования на углерод — системы торговли выбросами и налоги на углерод — создают стимулы для сокращения выбросов. Их успех зависит от эффективного проектирования, строгой проверки и мер по предотвращению «зеленого мытья».  </w:t>
      </w:r>
    </w:p>
    <w:p>
      <w:r>
        <w:t xml:space="preserve">Цифровые технологии придают новый импульс. Блокчейн повышает прозрачность и позволяет осуществлять энергообмен напрямую между участниками, а аналитика на базе ИИ улучшает оценку рисков и расширяет доступ к зеленым инвестициям.  </w:t>
      </w:r>
    </w:p>
    <w:p>
      <w:r>
        <w:t xml:space="preserve">Обмен долгов на энергию имеет потенциал снизить долговую нагрузку и одновременно финансировать возобновляемые источники энергии. Такие соглашения требуют сильного управления и многосторонней поддержки для преодоления регуляторных и транзакционных препятствий.  </w:t>
      </w:r>
    </w:p>
    <w:p>
      <w:r>
        <w:t>В совокупности эти инструменты могут мобилизовать триллионы, укрепить доверие и ускорить переход к низкоуглеродной экономике. Эта глава рассматривает их потенциал, вызовы и стратегии для максимизации воздействия.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