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Главу 5: Вопросы поперечного сечения в финансировании устойчивой энергетики.  </w:t>
      </w:r>
    </w:p>
    <w:p>
      <w:r>
        <w:t xml:space="preserve">В этой главе мы рассмотрим две темы, формирующие каждую часть финансирования устойчивой энергетики: стратегические партнерства и инклюзивные, справедливые подходы к инвестициям, включая гендерные аспекты.  </w:t>
      </w:r>
    </w:p>
    <w:p>
      <w:r>
        <w:t xml:space="preserve">Первое — партнерства. Они являются двигателем, который мобилизует инвестиции.  </w:t>
      </w:r>
    </w:p>
    <w:p>
      <w:r>
        <w:t xml:space="preserve">Государственные и частные организации — вместе с международными финансовыми институтами — могут объединять ресурсы, делить риски и достигать результатов, которых не смог бы добиться один участник.  </w:t>
      </w:r>
    </w:p>
    <w:p>
      <w:r>
        <w:t xml:space="preserve">Представьте себе многосторонние банки развития, предоставляющие долгосрочные кредиты, льготное финансирование и гарантии.  </w:t>
      </w:r>
    </w:p>
    <w:p>
      <w:r>
        <w:t xml:space="preserve">Например, эти институты помогли запустить проекты, которые в противном случае могли бы оказаться слишком рискованными или дорогими. Они обеспечивают важную финансовую поддержку возобновляемой энергетике, такой как солнечная и ветровая энергия, особенно там, где начальные капитальные затраты высоки.  </w:t>
      </w:r>
    </w:p>
    <w:p>
      <w:r>
        <w:t xml:space="preserve">Четкие соглашения, сбалансированное распределение рисков и согласованные стимулы — вот что делает такие партнерства эффективными.  </w:t>
      </w:r>
    </w:p>
    <w:p>
      <w:r>
        <w:t xml:space="preserve">Переходя к инклюзивному и справедливому финансированию, энергетический сектор по-прежнему демонстрирует значительные различия. Например, женщины — особенно из маргинализированных сообществ — сталкиваются с системными барьерами, начиная от ограниченного доступа к кредитам и отсутствия залога до недостаточного представительства в руководящих ролях.  </w:t>
      </w:r>
    </w:p>
    <w:p>
      <w:r>
        <w:t xml:space="preserve">Дискриминационные практики и культурные предубеждения усугубляют эти проблемы, усложняя им получение необходимого финансирования для проектов в области возобновляемой энергетики или энергоэффективных технологий.  </w:t>
      </w:r>
    </w:p>
    <w:p>
      <w:r>
        <w:t xml:space="preserve">Решение этих проблем требует целенаправленных политик, программ повышения потенциала и финансовых инструментов, ориентированных на разнообразные потребности.  </w:t>
      </w:r>
    </w:p>
    <w:p>
      <w:r>
        <w:t xml:space="preserve">Продвижение лидерства женщин в энергетических проектах не только способствует инклюзивности, но и ускоряет общий переход, используя нераспределённые человеческие ресурсы.  </w:t>
      </w:r>
    </w:p>
    <w:p>
      <w:r>
        <w:t xml:space="preserve">Короче говоря, партнерства и инклюзивные подходы — это не побочные вопросы. Они лежат в основе справедливого энергетического перехода и являются ключевыми для продвижения финансирования устойчивой энергетики.  </w:t>
      </w:r>
    </w:p>
    <w:p>
      <w:r>
        <w:t>В следующих уроках мы рассмотрим, как реализовать эти идеи на практике.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