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Добро пожаловать в первую главу «Управление энергетикой для справедливого энергетического перехода».</w:t>
      </w:r>
    </w:p>
    <w:p>
      <w:r>
        <w:t>Эта глава делает один главный вывод: энергетический переход — это не только технологии или финансы — это управление. Кто принимает решения, как они принимаются и справедливо ли распределяются выгоды, определит успех или неудачу.</w:t>
      </w:r>
    </w:p>
    <w:p>
      <w:r>
        <w:t>Мы начинаем с трех основных принципов. Эффективность означает политики, основанные на доказательствах, которые реализуются, соблюдаются и координируются между министерствами и рынками. Ответственность обеспечивает целостность, прозрачность и независимый контроль, чтобы правила служили общественным интересам. Инклюзивность включает людей — женщин, молодежь, коренные народы, бизнес, коммунальные службы и сообщества — чтобы решения отражали реальные потребности и никого не оставляли позади.</w:t>
      </w:r>
    </w:p>
    <w:p>
      <w:r>
        <w:t>Вы увидите, как управление работает на нескольких уровнях. Местном, национальном, региональном и международном. Эффективные переходы связывают эти уровни вертикально, горизонтально и через целенаправленные партнерства.</w:t>
      </w:r>
    </w:p>
    <w:p>
      <w:r>
        <w:t>Мы также рассмотрим барьеры, тормозящие прогресс: зависимость от ископаемого топлива в институтах, инфраструктуре и поведении; рыночные сбои, игнорирующие экологические издержки; риски инвестиций, отпугивающие капитал — особенно в развивающихся странах; и неравенства, оставляющие миллионы без доступной, надежной и чистой энергии.</w:t>
      </w:r>
    </w:p>
    <w:p>
      <w:r>
        <w:t>Эта глава также вводит концепцию «Подхода всей общества», трансформирующую модель, расширяющую участие за пределы правительства и включающую гражданское общество, сообщества, молодежь, коренные народы, академические круги и частный сектор. Переход от «государственно-центричной» системы к «управленческой» мобилизует разнообразные знания и ресурсы, укрепляет общественное доверие и ускоряет инновации.</w:t>
      </w:r>
    </w:p>
    <w:p>
      <w:r>
        <w:t>Оставайтесь с нами, чтобы узнать, как превратить эти принципы в действия для справедливого и устойчивого энергетического будущего.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