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Добро пожаловать в третью главу: «Ключевые инструменты и средства политики в области устойчивой энергетики».  </w:t>
      </w:r>
    </w:p>
    <w:p>
      <w:r>
        <w:t xml:space="preserve">Переход к устойчивой энергетике — это не только новые технологии. Это использование правильных инструментов политики для направления инвестиций, защиты людей и планеты, а также достижения долгосрочных климатических целей. В этой главе рассказывается о том, как правительства объединяют различные типы инструментов в согласованную стратегию.  </w:t>
      </w:r>
    </w:p>
    <w:p>
      <w:r>
        <w:t xml:space="preserve">Начинаем с стратегического планирования. Страны устанавливают видения и цели по чистой энергии, эффективности, транспорту или чистому приготовлению пищи через национальные планы и долгосрочные стратегии. Эти планы действуют как компас: они переводят глобальные обязательства, такие как Парижское соглашение, в национальные приоритеты и дают инвесторам, коммунальным службам и сообществам ясное понимание направления.  </w:t>
      </w:r>
    </w:p>
    <w:p>
      <w:r>
        <w:t xml:space="preserve">Но одних планов недостаточно. Регулирование обеспечивает ту уверенность, которая необходима рынкам. Стандарты по выбросам, зданиям, бытовым приборам или доле возобновляемой энергии обеспечивают минимальный уровень производительности, постепенно исключают вредные практики и направляют, где и как строится инфраструктура. При правильном проектировании эти правила балансируют экологические цели с социальной справедливостью и инновациями.  </w:t>
      </w:r>
    </w:p>
    <w:p>
      <w:r>
        <w:t xml:space="preserve">В дополнение к регулированию правительства все чаще полагаются на экономические стимулы. Вместо того чтобы предписывать, как соблюдать требования, рыночные инструменты, такие как ценообразование на углерод, торговля выбросами или тарифы на «зеленую» энергию, используют цены и конкуренцию для выявления наиболее экономичных решений, поощрения чистых технологий и привлечения частного капитала.  </w:t>
      </w:r>
    </w:p>
    <w:p>
      <w:r>
        <w:t xml:space="preserve">Наконец, даже лучшие политики необходимо превращать в реализуемые проекты. Контрактные инструменты, такие как долгосрочные соглашения о покупке электроэнергии или государственно-частные партнерства, распределяют риски, обеспечивают финансирование и гарантируют выполнение социальных и экологических обязательств.  </w:t>
      </w:r>
    </w:p>
    <w:p>
      <w:r>
        <w:t>В совокупности эти инструменты образуют набор средств для управления энергетическим переходом. При разумном сочетании они превращают абстрактные климатические амбиции в конкретные, инвестиционно привлекательные действия, обеспечивающие доступную, надежную и справедливую энергию для всех.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