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2: Устойчивая энергия для смягчения климатических изменений.  </w:t>
      </w:r>
    </w:p>
    <w:p>
      <w:r>
        <w:t xml:space="preserve">В предыдущей главе мы рассмотрели энергетические системы и источники выбросов. Теперь мы переходим к пути вперед — к стратегиям, которые действительно могут снизить эти выбросы. В этой главе мы рассмотрим, как декарбонизация может происходить во всей экономике, какие инновации делают это возможным, и как эффективность и более умный спрос могут ускорить переход.  </w:t>
      </w:r>
    </w:p>
    <w:p>
      <w:r>
        <w:t xml:space="preserve">Начнем с конечных секторов — транспорта, промышленности, сельского хозяйства и зданий. В предыдущей главе мы увидели их выбросы; теперь мы изучим, как электрификация, низкоуглеродные топлива и изменения в процессах могут снизить их, особенно в труднодоступных для декарбонизации областях.  </w:t>
      </w:r>
    </w:p>
    <w:p>
      <w:r>
        <w:t xml:space="preserve">Затем мы перейдем к инновациям. Мы выделим революционные решения, такие как зеленый водород и крупномасштабное хранение энергии, и посмотрим, как они могут дополнить возобновляемые источники и сделать возможной глубокую декарбонизацию.  </w:t>
      </w:r>
    </w:p>
    <w:p>
      <w:r>
        <w:t xml:space="preserve">Далее мы обратимся к энергоэффективности и управлению спросом. Мы исследуем, как «использовать меньше» и «использовать умнее» — через улучшение проектирования зданий, более эффективные промышленные процессы и умные транспортные системы — могут обеспечить немедленное сокращение выбросов, снизить затраты и снизить нагрузку на инфраструктуру.  </w:t>
      </w:r>
    </w:p>
    <w:p>
      <w:r>
        <w:t>Давайте начнем исследование.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