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3: Устойчивая энергия для адаптации к климату.  </w:t>
      </w:r>
    </w:p>
    <w:p>
      <w:r>
        <w:t xml:space="preserve">В предыдущей главе мы рассмотрели пути смягчения — как сократить выбросы. В этой главе мы переключимся на другую сторону уравнения климата: адаптацию к уже происходящим воздействиям. Мы посмотрим, как изменение климата угрожает энергетическим системам и доступу к энергии, а также как укрепление устойчивости может защитить сообщества, экономики и сам переход.  </w:t>
      </w:r>
    </w:p>
    <w:p>
      <w:r>
        <w:t xml:space="preserve">Начнем с картирования рисков. Экстремальная жара может снижать эффективность электростанций, перегружать сети во время пиков спроса и создавать нагрузку на линии передачи. Наводнения, штормы и повышение уровня моря угрожают прибрежным НПЗ, трубопроводам и электростанциям. Засухи могут сокращать выработку гидроэнергии и охлаждающую воду для тепловых электростанций. Анализируя эти физические риски вместе, мы увидим, где энергетические системы наиболее уязвимы.  </w:t>
      </w:r>
    </w:p>
    <w:p>
      <w:r>
        <w:t xml:space="preserve">Далее мы рассмотрим стратегии адаптации. Обсудим проектирование климатически устойчивой инфраструктуры — от повышения уровня подстанций до укрепления сетей. Рассмотрим диверсификацию энергетических смесей для снижения зависимости от одного вида топлива или региона, а также децентрализованные и автономные решения, которые обеспечивают подачу электроэнергии при сбоях централизованных сетей. Важной темой станет интеграция климатических рисков в планирование энергетики и инвестиционные решения.  </w:t>
      </w:r>
    </w:p>
    <w:p>
      <w:r>
        <w:t xml:space="preserve">Затем мы перейдем к тому, как устойчивые энергетические системы могут способствовать более широкой адаптации — обеспечивая работу больниц и центров охлаждения во время волн жары, поддерживая ирригацию в условиях засухи и способствуя реагированию и восстановлению после чрезвычайных ситуаций.  </w:t>
      </w:r>
    </w:p>
    <w:p/>
    <w:p>
      <w:r>
        <w:t xml:space="preserve">Наконец, мы рассмотрим необходимость согласованной политики, межведомственной координации и сотрудничества. Национальные планы адаптации должны учитывать приоритеты энергетического сектора, а энергетические стратегии — предусматривать будущие климатические угрозы. Согласование бюджетов, потоков климатического финансирования, страховых схем и облигаций устойчивости в рамках единой системы предотвращает фрагментацию и дает ясный сигнал инвесторам, коммунальным службам и сообществам. Не менее важно, чтобы эта координация включала голоса уязвимых групп, чтобы меры по адаптации были справедливыми, инклюзивными и эффективными.  </w:t>
      </w:r>
    </w:p>
    <w:p>
      <w:r>
        <w:t>Давайте погрузимся и узнаем, как сделать энергетические системы готовыми к климату.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