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Главу 3, посвящённую тому, как инновации стимулируют устойчивое энергетическое будущее. Технологии возобновляемой энергии развиваются быстрыми темпами, однако уровень их внедрения по регионам всё ещё значительно различается. Остаются вызовы, особенно в развивающихся странах, где местные инновационные экосистемы часто недостаточно развиты. Создание таких экосистем имеет решающее значение — с акцентом на адаптацию технологий, поддержку предпринимателей и развитие институционального сотрудничества.  </w:t>
      </w:r>
    </w:p>
    <w:p>
      <w:r>
        <w:t xml:space="preserve">Политика играет ключевую роль. Эффективные механизмы, такие как национальные климатические обязательства, ценообразование на углерод и постепенный отказ от субсидий на ископаемое топливо, необходимы для ускорения внедрения. Например, страны, внедряющие тарифы на «зеленое» питание или стандарты по возобновляемым источникам энергии, отмечают значительный рост мощности чистой энергии.  </w:t>
      </w:r>
    </w:p>
    <w:p>
      <w:r>
        <w:t xml:space="preserve">Стратегии отрасли не менее важны. Масштабирование инноваций требует стратегических партнерств — между стартапами, инвесторами и законодателями — при поддержке стимулирующих политик и смешанного финансирования. Такой подход особенно важен в регионах, где нехватка финансирования и технические барьеры тормозят прогресс.  </w:t>
      </w:r>
    </w:p>
    <w:p>
      <w:r>
        <w:t xml:space="preserve">Развитие рабочей силы — ещё один ключевой компонент. Программы переподготовки, продвижение гендерного равенства и обмен знаниями обеспечивают справедливый и равноправный переход. Вовлечение местных сообществ и расширение возможностей работников могут раскрыть весь потенциал технологий возобновляемой энергии.  </w:t>
      </w:r>
    </w:p>
    <w:p>
      <w:r>
        <w:t>В целом, эта глава показала, что энергетический переход — это коллективное усилие, движимое политикой, инновациями и инклюзивными действиями. Решения, принятые сегодня, определят, будет ли этот переход справедливым, устойчивым и надежным для всех. Сейчас самое время превращать знания в действия.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