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2: Теория снижения рисков.  </w:t>
      </w:r>
    </w:p>
    <w:p>
      <w:r>
        <w:t xml:space="preserve">Инвестиции в возобновляемую энергию в развивающихся странах — это не только внедрение новых технологий, но и понимание и управление рисками. В этой главе мы исследуем, как риски определяются, воспринимаются и оцениваются инвесторами и кредиторами, и почему эти риски часто делают финансирование проектов в области возобновляемой энергии более дорогим на развивающихся рынках.  </w:t>
      </w:r>
    </w:p>
    <w:p>
      <w:r>
        <w:t xml:space="preserve">Вы узнаете о различных типах рисков, которые могут повлиять на инвестиции в возобновляемую энергию, от политической и регуляторной неопределенности до колебаний валют и специфических для проекта проблем. Мы рассмотрим, как эти риски формируют решения об инвестициях, влияют на стоимость капитала и в конечном итоге определяют, реализуются ли проекты или застают.  </w:t>
      </w:r>
    </w:p>
    <w:p>
      <w:r>
        <w:t xml:space="preserve">Но риск — это не только препятствие, это также рычаг для действий. Эта глава вводит теорию изменений, лежащую в основе эффективного снижения рисков, показывая, как целенаправленные государственные и частные меры могут снизить риски, уменьшить затраты на финансирование и открыть новые возможности для инвестиций. Мы рассмотрим стратегии, которые используют правительства, партнеры по развитию и инвесторы для преодоления этих барьеров, и как снижение рисков может преобразовать инвестиционный ландшафт в области чистой энергии.  </w:t>
      </w:r>
    </w:p>
    <w:p>
      <w:r>
        <w:t>К концу этой главы у вас будет прочная база в концепциях и логике, лежащих в основе подхода DREI, что подготовит вас к тому, чтобы увидеть, как эти идеи реализуются на практике в следующей главе.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