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3: Рамочная структура DREI.  </w:t>
      </w:r>
    </w:p>
    <w:p>
      <w:r>
        <w:t xml:space="preserve">Как страны могут систематически снижать инвестиционные риски и ускорять внедрение возобновляемых источников энергии? В этой главе мы пройдем практический путь по рамочной структуре DREI, шаг за шагом раскрывая ее основные компоненты и применения.  </w:t>
      </w:r>
    </w:p>
    <w:p>
      <w:r>
        <w:t xml:space="preserve">Мы начнем с изучения того, как оценивать рискованную среду для проектов в области возобновляемой энергии, используя структурированный анализ и взаимодействие с заинтересованными сторонами для выявления наиболее важных барьеров. Вы узнаете, как методология DREI помогает картировать эти риски, количественно оценивать их влияние на стоимость финансирования и определять приоритеты для действий.  </w:t>
      </w:r>
    </w:p>
    <w:p>
      <w:r>
        <w:t xml:space="preserve">Далее мы представим набор публичных инструментов — политические реформы, финансовые гарантии и целевые стимулы, которые правительства и партнеры могут использовать для устранения этих рисков. Вы увидите, как эти меры выбираются, моделируются и оцениваются с точки зрения их эффективности в снижении стоимости капитала и повышения привлекательности проектов.  </w:t>
      </w:r>
    </w:p>
    <w:p>
      <w:r>
        <w:t xml:space="preserve">На протяжении всей этой главы вы встретите практические кейс-стади и сценарные анализы, иллюстрирующие, как рамочная структура DREI может применяться в различных контекстах. Эти примеры показывают, как целенаправленные меры могут снизить инвестиционные риски и издержки, предоставляя ценные идеи для политики и планирования.  </w:t>
      </w:r>
    </w:p>
    <w:p>
      <w:r>
        <w:t>К концу этой главы вы поймете, как теория превращается в практику — и как рамочная структура DREI дает возможность руководителям принимать обоснованные решения и разрабатывать стратегии, основанные на доказательствах, для устойчивого, низкоуглеродного будущего.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