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欢迎来到第2模块：能源获取的现状、趋势与障碍。</w:t>
      </w:r>
    </w:p>
    <w:p>
      <w:r>
        <w:t>今天，我们将探讨能源获取的现状、将定义未来能源获取的趋势，以及阻碍普及的关键挑战。</w:t>
      </w:r>
    </w:p>
    <w:p>
      <w:r>
        <w:t>本章首先绘制能源获取差距的地理分布图——涵盖各地区、城乡差异、脆弱环境和非正式定居点——并深入分析塑造能源贫困的多层次现实，从基础设施不足到社会经济排斥。</w:t>
      </w:r>
    </w:p>
    <w:p>
      <w:r>
        <w:t>本章还超越电力，强调清洁烹饪、取暖和制冷的迫切需求。例如，截至2023年，全球只有74%的人口能够使用清洁烹饪方式。</w:t>
      </w:r>
    </w:p>
    <w:p>
      <w:r>
        <w:t>我们还将讨论一些关键的障碍，包括基础设施不足、供应链中断、投资分配偏差以及政策或治理失误。</w:t>
      </w:r>
    </w:p>
    <w:p>
      <w:r>
        <w:t>应对这些挑战需要量身定制的方法——加强基础设施建设、激励在重点领域的投资，以及制定优先考虑包容性和可负担性的政策。只有通过全面、具有针对性的策略，我们才能更接近到2030年实现普遍、可持续能源获取的目标。</w:t>
      </w:r>
    </w:p>
    <w:p>
      <w:r>
        <w:t>本章为理解当今世界的现状奠定基础，也为未来弥合能源差距的开发机遇提供了思路。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