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欢迎来到第二章：确保工人和社区的公平转型。</w:t>
      </w:r>
    </w:p>
    <w:p>
      <w:r>
        <w:t>能源转型不仅关乎基础设施——它影响着权益、生计和社会福祉。研究已记录了反复出现的挑战，包括土地使用争议、社区迁移以及矿产供应链中的劳动违规行为。应对这些问题需要法律保障、有效执行以及最受影响群体的积极参与。</w:t>
      </w:r>
    </w:p>
    <w:p>
      <w:r>
        <w:t>参与是合法性的基础。自由、事先和知情同意确保土著人民和地方社区能够从一开始就参与塑造项目。在哥伦比亚，瓦尤族通过尊重传统治理并融入性别视角的跨文化平台进行参与——这减少了冲突，并使可再生能源项目能够在共享的条件下推进。</w:t>
      </w:r>
    </w:p>
    <w:p>
      <w:r>
        <w:t>国际框架也至关重要。2018年埃斯卡祖协议，拉丁美洲和加勒比地区首个区域性条约，确立了关于信息获取、公众参与和环境保护者保护的具有约束力的承诺。它将环境管理与公民和政治权利联系起来，为平衡气候目标与公平提供了范例。</w:t>
      </w:r>
    </w:p>
    <w:p>
      <w:r>
        <w:t>就业是另一个基石。国际可再生能源署预测，到2030年，可再生能源有望支持超过3000万个就业岗位，但大部分增长集中在发达经济体，化石燃料地区则被落下。需要制定再培训、创业和有针对性的投资政策，以缩小这一差距。</w:t>
      </w:r>
    </w:p>
    <w:p>
      <w:r>
        <w:t>性别平等依然至关重要。截至2024年，女性在可再生能源劳动力中不足三分之一，且在领导岗位中的代表性不足。通过奖学金、导师制度和关怀敏感的工作场所政策等措施，可以改善参与度并增强组织绩效。</w:t>
      </w:r>
    </w:p>
    <w:p>
      <w:r>
        <w:t>最后，社会保护确保弱势家庭不被边缘化。经过社区意见和精准数据设计的补贴和现金转移，可以防止能源贫困，并在转型过程中维护稳定。</w:t>
      </w:r>
    </w:p>
    <w:p>
      <w:r>
        <w:t>本章探讨了这些方面，并强调了保护权益、扩大机会以及公平分享清洁能源利益的实际方法。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