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欢迎来到第4章：公平能源转型的战略治理与合作模式。</w:t>
      </w:r>
    </w:p>
    <w:p>
      <w:r>
        <w:t>公平且可持续的能源转变不仅依赖技术——它还需要强有力的治理、包容性政策以及优先考虑公平的融资。</w:t>
      </w:r>
    </w:p>
    <w:p>
      <w:r>
        <w:t>联合国开发计划署的做法将包容性融入国家战略，如能源计划和气候承诺，确保弱势群体——包括妇女、青年和非正式工人——共享利益。以数据为驱动的工具，如绿色就业评估模型，帮助各国政府预估影响并设计保护社区的措施。</w:t>
      </w:r>
    </w:p>
    <w:p>
      <w:r>
        <w:t>能源民主强调参与式治理，让社区拥有发声权和公平获取资源的机会。在波多黎各，社区主导的项目，如改造水电设施，展示了在支持性政策推动下，地方所有权如何增强韧性。</w:t>
      </w:r>
    </w:p>
    <w:p>
      <w:r>
        <w:t>公平能源转型伙伴关系动员公共和私人资金，逐步淘汰煤炭并现代化电网。例如，在印度尼西亚，专门的工作组帮助协调融资与地方优先事项，强调透明度和社会正义。</w:t>
      </w:r>
    </w:p>
    <w:p>
      <w:r>
        <w:t>共同而言，治理与合作是实现公平转型的基础——一个将气候目标与公平、机遇和可持续性结合起来的转型。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