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欢迎来到第1章：可持续能源金融与市场动态导论。</w:t>
      </w:r>
    </w:p>
    <w:p>
      <w:r>
        <w:t>2024年，全球低碳能源转型的投资增长了11％，达到创纪录的2.1万亿美元。这标志着一个显著的加速，但仍未达到实现国际气候目标所需的水平。除中国外的新兴市场和发展中经济体仅占全球清洁能源投资的约15％，尽管它们拥有超过一半的世界人口。例如，撒哈拉以南非洲在2000年至2024年间仅获得了全球清洁能源投资的2％。</w:t>
      </w:r>
    </w:p>
    <w:p>
      <w:r>
        <w:t>这种不平衡的局面可能使潜力巨大的地区继续依赖化石燃料，恶化社会不平等，并破坏气候目标。许多国家面临“三重惩罚”：更高的融资成本和电价、对进口化石燃料的高度依赖，以及技术和技能劳动力的有限获取——所有这些都使其能源转型变得更加复杂。</w:t>
      </w:r>
    </w:p>
    <w:p>
      <w:r>
        <w:t>与此同时，可再生能源市场正在快速变革。到2030年，全球电力结构中近一半预计将来自可再生能源，这得益于技术成本的下降、智能政策和创新商业模式。然而，供应链脆弱性——尤其是对少数国家关键矿物的依赖——以及地缘政治风险，要求多元化采购和负责任的资源管理。</w:t>
      </w:r>
    </w:p>
    <w:p>
      <w:r>
        <w:t>能源存储、智能电网和数字化等技术进步正在提升系统效率、可靠性和消费者参与度，重塑生产商、分销商、监管者和投资者的市场动态。</w:t>
      </w:r>
    </w:p>
    <w:p>
      <w:r>
        <w:t>为了吸引必要的资金，项目必须真正具有银行可行性——展现出可预测的现金流、稳健的财务结构，并符合技术、法律和社会标准。在新兴经济体中，克服高资本成本、监管不确定性和基础设施缺口尤为关键。</w:t>
      </w:r>
    </w:p>
    <w:p>
      <w:r>
        <w:t>让我们开始吧。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