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欢迎来到第2章：应对气候变化的可持续能源。</w:t>
      </w:r>
    </w:p>
    <w:p>
      <w:r>
        <w:t>在上一章中，我们探讨了能源系统及其排放来源。现在我们将转向未来的道路——那些真正能够降低排放的路径。在本章中，我们将了解整个经济如何实现脱碳，哪些创新使之成为可能，以及提高效率和更智能的需求如何加快转型。</w:t>
      </w:r>
    </w:p>
    <w:p>
      <w:r>
        <w:t>我们将从终端使用部门开始——交通、工业、农业和建筑。在上一章中，我们看到了它们的排放；现在我们将研究电气化、低碳燃料和工艺变革如何推动它们的排放下降，特别是在难以减排的领域。</w:t>
      </w:r>
    </w:p>
    <w:p>
      <w:r>
        <w:t>然后，我们将转向创新。我们将重点介绍具有变革性的解决方案，如绿色氢能和大规模储能，并探讨它们如何与可再生能源互补，实现深度脱碳。</w:t>
      </w:r>
    </w:p>
    <w:p>
      <w:r>
        <w:t>接下来，我们将关注能源效率和需求管理。我们将探索“少用”和“用得更聪明”——通过更好的建筑设计、更高效的工业流程和更智能的交通系统——如何实现即时的减排，同时降低成本，减轻基础设施的压力。</w:t>
      </w:r>
    </w:p>
    <w:p>
      <w:r>
        <w:t>让我们开始探索吧。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