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欢迎来到第一章：未来趋势与预测。</w:t>
      </w:r>
    </w:p>
    <w:p>
      <w:r>
        <w:t>我们正处于能源行业的关键时刻，快速的变化正在重塑需求和供应。</w:t>
      </w:r>
    </w:p>
    <w:p>
      <w:r>
        <w:t>在需求方面，全球能源使用量不断上升，受人口增长、城市化和经济发展的推动。到2050年，联合国预测将有68%的人口居住在城市中，电力需求将因此增加。数字化和人工智能正在推动更智能的电网，但也带来了新的需求来源。2024年，数据中心消耗了415太瓦时的电力——占全球用电的1.5%——预计到2030年，这一数字将翻倍，超过日本目前的用电量。更强的效率措施可以将预计的需求增长减少三分之一，从而降低成本和排放。同时，气候变化也促使我们重新思考能源的韧性。</w:t>
      </w:r>
    </w:p>
    <w:p>
      <w:r>
        <w:t>在供应方面，可再生能源正以创纪录的速度扩展。2020年，全球新增了260吉瓦的容量，其中太阳能和风能占比达91%。展望未来，可再生能源将成为新增需求的最大来源，而天然气和核能将在太阳能和风能产出不足时，仍然扮演平衡电网的重要角色。</w:t>
      </w:r>
    </w:p>
    <w:p>
      <w:r>
        <w:t>随着到2050年电力成为主要的能源载体，家庭、工业和数字基础设施都将推动能源消费。数字化虽然能源密集，但也提供了强大的工具来提高效率。</w:t>
      </w:r>
    </w:p>
    <w:p>
      <w:r>
        <w:t>趋势十分明确：能源的未来需要协调的政策、技术创新和国际合作。请继续关注，我们将探讨实现更清洁、更智能能源系统的挑战与路径。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