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欢迎来到第1章：全球南方可再生能源的趋势与障碍。</w:t>
      </w:r>
    </w:p>
    <w:p>
      <w:r>
        <w:t>在全球南方地区，可再生能源正在重塑社区获取电力和创造机会的方式。在本章中，我们将探讨风能和太阳能的动态增长，以及像微电网和太阳能家庭系统等去中心化解决方案的崛起。这些技术推动了清洁能源的普及，支持经济发展，并帮助缩小仍有数百万人缺乏可靠电力的地区的电力接入差距。</w:t>
      </w:r>
    </w:p>
    <w:p>
      <w:r>
        <w:t>但转型之路并非没有挑战。可再生能源的投资仍然不平衡，撒哈拉以南非洲和其他发展中地区面临持续的障碍。融资缺口、电网限制、政策不确定性和负担能力问题持续阻碍进展。即使技术成本下降和新商业模式不断出现，许多国家仍难以吸引必要的私人投资以扩大清洁能源解决方案。</w:t>
      </w:r>
    </w:p>
    <w:p>
      <w:r>
        <w:t>在本章中，你将了解全球和区域趋势如何塑造可再生能源的格局。我们将探讨推动近期增长的驱动因素、取得成效的政策和项目，以及仍然存在的障碍。通过理解这些趋势和障碍，我们为本模块的后续内容奠定基础——即探索如何通过有针对性的风险降低策略，激发投资，推动向可持续、负担得起的能源的转型。</w:t>
      </w:r>
    </w:p>
    <w:p>
      <w:r>
        <w:t>让我们开始踏上探索全球南方可再生能源不断演变的旅程。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