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欢迎来到第2章：去风险化理论。</w:t>
      </w:r>
    </w:p>
    <w:p>
      <w:r>
        <w:t>在发展中国家投资可再生能源不仅仅是部署新技术——更是关于理解和管理风险。在本章中，我们将探讨投资者和贷款方如何定义、感知和定价风险，以及为什么这些风险常常使新兴市场的可再生能源项目融资变得更昂贵。</w:t>
      </w:r>
    </w:p>
    <w:p>
      <w:r>
        <w:t>你将了解影响可再生能源投资的不同类型的风险，从政治和监管不确定性到货币波动以及项目特定的挑战。我们将分析这些风险如何影响投资决策、资本成本，并最终决定项目是否推进或搁置。</w:t>
      </w:r>
    </w:p>
    <w:p>
      <w:r>
        <w:t>但风险不仅仅是障碍——它也是行动的杠杆。本章介绍支撑有效去风险化的变革理论，展示有针对性的公共和私人干预如何降低风险、降低融资成本并激发新的投资。我们将探讨政府、发展伙伴和投资者用以应对这些障碍的策略，以及去风险化如何改变清洁能源的投资格局。</w:t>
      </w:r>
    </w:p>
    <w:p>
      <w:r>
        <w:t>到本章结束时，你将掌握驱动DREI方法的概念和逻辑的坚实基础，为下一章中这些理念的实际应用做好准备。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