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Chapter 3: Regions.</w:t>
      </w:r>
    </w:p>
    <w:p/>
    <w:p>
      <w:r>
        <w:t>In this chapter, we’ll explore how different parts of the world are tackling the transition to sustainable energy. Each region presents unique challenges and opportunities, shaping their pathways towards cleaner, more reliable energy systems.</w:t>
      </w:r>
    </w:p>
    <w:p/>
    <w:p>
      <w:r>
        <w:t>Let’s start with the Arab States. Despite a 91% energy access rate, the region struggles with energy reliability and affordability. Only about 7% of their energy currently comes from renewables, but capacity has increased tenfold over the past decade, reaching around 23 gigawatts. Investment in renewable energy is rising, totaling over 10 billion dollars in 2020, although barriers like governance and capacity gaps remain.</w:t>
      </w:r>
    </w:p>
    <w:p/>
    <w:p>
      <w:r>
        <w:t>Moving to Latin America and the Caribbean, the region boasts one of the world's cleanest grids, generating over 60% of electricity from renewable sources, primarily hydropower. Yet, fossil fuels still dominate the energy mix, especially in transport and industry. While electricity access is high—over 97%—millions still lack access to clean cooking and electricity, especially in rural and marginalized communities. Addressing these gaps requires substantial investment—estimated between 125 and 200 billion dollars annually—to build resilient, sustainable systems.</w:t>
      </w:r>
    </w:p>
    <w:p/>
    <w:p>
      <w:r>
        <w:t>In Africa, the challenges are profound but so is the potential. The continent holds vast renewable energy resources and critical minerals essential for clean energy technologies. However, only about 2% of global renewable energy investments from 2000 to 2020 went to Africa. With just 2% of the world’s renewable investments, targeted financing is crucial. Africa’s energy landscape demands a just transition that includes innovation, skills development, and governance reforms, leveraging its abundant renewable resources and mineral wealth.</w:t>
      </w:r>
    </w:p>
    <w:p/>
    <w:p>
      <w:r>
        <w:t>Asia and the Pacific face similar issues. While many countries in this region are middle-income, there’s significant reliance on fossil fuels, despite efforts to unlock private finance. Over 80% of these countries require market-based solutions to mobilize investments for infrastructure and renewable projects. The region’s energy systems are evolving, aiming for cleaner, more resilient, and inclusive energy access.</w:t>
      </w:r>
    </w:p>
    <w:p/>
    <w:p>
      <w:r>
        <w:t>Finally, Eastern Europe and Central Asia are navigating the transition amid geopolitical and economic factors. Many countries aim for European Union accession, with climate policies like the Carbon Border Adjustment Mechanism shaping their energy strategies. Heating remains a major energy demand, accounting for about 24%, but also a significant source of emissions. Nearly all countries in this region have committed to reducing methane emissions by at least 30% below 2020 levels by 2030.</w:t>
      </w:r>
    </w:p>
    <w:p/>
    <w:p>
      <w:r>
        <w:t>Across these regions, common themes emerge: the need for increased investment, improved governance, and innovative solutions. While their starting points differ, the goal remains the same—building sustainable, resilient energy systems that serve everyone.</w:t>
      </w:r>
    </w:p>
    <w:p/>
    <w:p>
      <w:r>
        <w:t>Stay with us as we delve deeper into each region’s specific strategies and actions. The transition is happening worldwide, and understanding these regional dynamics is key to shaping a sustainable energy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