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1: Introduction to the Energy Transition Landscape.</w:t>
      </w:r>
    </w:p>
    <w:p/>
    <w:p>
      <w:r>
        <w:t>Today, we stand at a pivotal moment in history. The shift towards renewable energy is no longer just about reducing emissions—it's driven by urgent climate imperatives. Unlike previous energy transitions, this one is propelled by the need to mitigate catastrophic environmental impacts, making speed and scale critical.</w:t>
      </w:r>
    </w:p>
    <w:p/>
    <w:p>
      <w:r>
        <w:t>The global community has committed to this transformation through agreements like the Paris Agreement. These efforts aim to decarbonize economies rapidly, emphasizing the deployment of clean energy technologies worldwide. In fact, the push for renewables is now driven by a sense of climate urgency rather than solely economic or technological factors.</w:t>
      </w:r>
    </w:p>
    <w:p/>
    <w:p>
      <w:r>
        <w:t>But this transition isn't just about technology. It is fundamentally about fairness and inclusion. Ensuring that vulnerable and marginalized groups are not left behind is central to what is called a 'just' energy transition. This approach aims to address deep-rooted social inequalities, fostering equitable access to the benefits of clean energy.</w:t>
      </w:r>
    </w:p>
    <w:p/>
    <w:p>
      <w:r>
        <w:t>Implementing such a transition requires a systemic shift in governance. It involves rethinking how policies are designed and executed, and adopting holistic strategies that consider interconnected energy systems and social dynamics. The goal is to create resilient, inclusive infrastructures that serve everyone fairly.</w:t>
      </w:r>
    </w:p>
    <w:p/>
    <w:p>
      <w:r>
        <w:t>In regions like the Global South, the challenges are even more pronounced. Dependence on fossil fuels, land conflicts, water resource issues, and persistent poverty complicate the transition. For example, in some areas, coal-dependent communities face economic risks if there’s no proactive planning for diversification and reskilling.</w:t>
      </w:r>
    </w:p>
    <w:p/>
    <w:p>
      <w:r>
        <w:t>Throughout this course, you'll explore these complexities—how to balance climate goals with social justice, and how strategies at local, regional, and global levels can work together to build a sustainable, equitable energy future.</w:t>
      </w:r>
    </w:p>
    <w:p/>
    <w:p>
      <w:r>
        <w:t>Let’s begin this journey into understanding the landscape of the energy transition—what it entails, why it’s necessary, and how we can ensure it’s just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