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3: A JET that Preserves Nature and Catalyzes Economic Growth.</w:t>
      </w:r>
    </w:p>
    <w:p/>
    <w:p>
      <w:r>
        <w:t>In this chapter, we explore how a just energy transition can simultaneously protect our natural environment and boost economic development. As the world shifts toward renewable energy, critical minerals like lithium, cobalt, and rare earth elements play a vital role—they are essential for manufacturing wind turbines, solar panels, and batteries. However, rising demand for these materials presents both opportunities and challenges. Resource-rich countries have the chance to benefit economically, but they must navigate environmental impacts, social risks, and governance issues.</w:t>
      </w:r>
    </w:p>
    <w:p/>
    <w:p>
      <w:r>
        <w:t>Responsible extraction practices and international cooperation are key. Global standards and effective governance can ensure that mineral development is sustainable, equitable, and transparent. This is crucial to avoid the so-called resource curse and to promote long-term development.</w:t>
      </w:r>
    </w:p>
    <w:p/>
    <w:p>
      <w:r>
        <w:t>While renewable energy technologies offer significant carbon reduction benefits—often lowering lifecycle greenhouse gas emissions by up to 90 percent compared to fossil fuels—they also pose localized environmental concerns. Wind turbines can impact bird and bat populations, solar farms may disrupt habitats, and hydropower projects can alter river ecosystems. Addressing these issues requires strategic planning, such as optimizing turbine placement or implementing habitat protection measures, to ensure ecological integrity.</w:t>
      </w:r>
    </w:p>
    <w:p/>
    <w:p>
      <w:r>
        <w:t>Furthermore, advancing the value chain from raw material extraction to high-value manufacturing—like battery production—can transform resource-dependent economies. Countries like Morocco and other North African nations are exemplifying how regional cooperation and strategic investments in local manufacturing can create jobs, reduce reliance on imports, and foster sustainable growth.</w:t>
      </w:r>
    </w:p>
    <w:p/>
    <w:p>
      <w:r>
        <w:t>Ultimately, a balanced approach—integrating environmental safeguards, social responsibility, and economic innovation—is essential to realize a just energy transition that benefits both people and the planet. Throughout this chapter, we will delve deeper into these topics, illustrating how strategic actions today can shape a sustainable and prosperous energy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