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Welcome to Chapter 1: Introduction to Sustainable Energy Finance and Market Dynamics.  </w:t>
      </w:r>
    </w:p>
    <w:p/>
    <w:p>
      <w:r>
        <w:t xml:space="preserve">In this chapter, we'll explore the critical role of sustainable finance in shaping the future of our energy systems. Sustainable finance integrates environmental, social, and governance factors into decision-making, ensuring that capital flows support long-term development goals and help address global challenges like climate change and inequality.  </w:t>
      </w:r>
    </w:p>
    <w:p/>
    <w:p>
      <w:r>
        <w:t xml:space="preserve">We'll examine the global energy investment landscape, revealing stark disparities. While China, the United States, and the European Union are leading the shift to clean energy, regions like Sub-Saharan Africa lag significantly—receiving just 2% of global clean energy investments from 2000 to 2024, despite hosting over half of the world's population. This uneven distribution highlights a systemic challenge: many developing economies face a triple penalty—higher costs for electricity, limited access to clean projects, and a dependence on fossil fuels—that hampers their ability to meet climate and development targets.  </w:t>
      </w:r>
    </w:p>
    <w:p/>
    <w:p>
      <w:r>
        <w:t xml:space="preserve">The chapter also covers the evolving market dynamics. The renewable energy sector is transforming rapidly, driven by technological advancements and falling costs. By 2030, nearly half of the global power supply is expected to come from renewable sources, reducing reliance on fossil fuels. However, supply chain vulnerabilities—particularly for critical minerals—pose geopolitical risks, emphasizing the need for diversified, responsible sourcing and recycling efforts.  </w:t>
      </w:r>
    </w:p>
    <w:p/>
    <w:p>
      <w:r>
        <w:t xml:space="preserve">Furthermore, we'll delve into what makes energy projects bankable and investable. Successful projects demonstrate predictable cash flows and meet rigorous financial, technical, legal, and socio-economic standards. Overcoming high capital costs, regulatory uncertainties, and infrastructural gaps is essential to attracting private and public investments, especially in emerging markets.  </w:t>
      </w:r>
    </w:p>
    <w:p/>
    <w:p>
      <w:r>
        <w:t xml:space="preserve">Throughout this chapter, you'll gain insights into how market mechanisms, policy frameworks, and innovative financing strategies are shaping a sustainable, resilient energy future. Our goal is to equip you with a clear understanding of these complex dynamics so you can better navigate and contribute to the energy transition.  </w:t>
      </w:r>
    </w:p>
    <w:p/>
    <w:p>
      <w:r>
        <w:t>Let's begin this journey into the future of sustainable energy finance and market 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