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2: Public Sector and Sustainable Energy Finance.</w:t>
      </w:r>
    </w:p>
    <w:p/>
    <w:p>
      <w:r>
        <w:t>In this chapter, we'll explore the vital role that government actions play in advancing the global transition toward renewable energy. Public sector investment is a key driver—by providing funding, reducing risks, and creating supportive policies, governments can catalyze the shift away from fossil fuels.</w:t>
      </w:r>
    </w:p>
    <w:p/>
    <w:p>
      <w:r>
        <w:t>Did you know that governments worldwide are essential in mobilizing the resources needed for sustainable energy projects? Their investments help attract private sector participation, develop renewable infrastructure, and support innovative technologies. Strong commitment from governments is also crucial in implementing ambitious policies, fostering international collaboration, and mobilizing the financial resources necessary to meet climate and energy goals.</w:t>
      </w:r>
    </w:p>
    <w:p/>
    <w:p>
      <w:r>
        <w:t>A significant part of this effort involves reforming energy subsidies. Fossil fuel subsidies, for example, distort markets, strain public finances, and delay the adoption of clean energy. Globally, these subsidies often exceed hundreds of billions of dollars annually, keeping fossil fuels artificially cheap and discouraging renewable investments.</w:t>
      </w:r>
    </w:p>
    <w:p/>
    <w:p>
      <w:r>
        <w:t>Reforming these subsidies—by phasing them out gradually and replacing them with targeted support—can help redirect public funds toward sustainable energy development. Countries like Indonesia, India, and Morocco have shown that strategic subsidy reforms, combined with social protections, can protect vulnerable populations while freeing up resources for clean energy projects.</w:t>
      </w:r>
    </w:p>
    <w:p/>
    <w:p>
      <w:r>
        <w:t>Moreover, financial stability tools like fiscal risk assessments and stress testing are vital. They help governments and financial institutions understand potential vulnerabilities, manage risks associated with large-scale investments, and maintain economic stability during this transition.</w:t>
      </w:r>
    </w:p>
    <w:p/>
    <w:p>
      <w:r>
        <w:t>In summary, effective public sector engagement—through strategic investments, policy reforms, and risk management—is fundamental to accelerating the shift to sustainable energy. This sets the stage for a cleaner, more resilient energy future that benefits everyone.</w:t>
      </w:r>
    </w:p>
    <w:p/>
    <w:p>
      <w:r>
        <w:t>Let's now delve deeper into each of these topics and see how they work together to support the global energy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