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Chapter 3: Scaling Up Private Sector Investment in Sustainable Energy.</w:t>
      </w:r>
    </w:p>
    <w:p/>
    <w:p>
      <w:r>
        <w:t>In the global effort to transition to cleaner energy sources, private sector investment plays a pivotal role. Public funds alone cannot meet the enormous $4 trillion annual investment needed by 2030 to achieve global clean energy goals. Unlocking private capital is essential to accelerate renewable energy deployment, drive innovation, and realize cost efficiencies worldwide.</w:t>
      </w:r>
    </w:p>
    <w:p/>
    <w:p>
      <w:r>
        <w:t>However, attracting private investment, especially in developing regions, remains a challenge. Despite their high potential for renewable energy and urgent needs for energy access, these regions attract less than 15% of global clean energy investments. High perceived financial risks, underdeveloped markets, regulatory uncertainties, and infrastructure gaps make private investors hesitant.</w:t>
      </w:r>
    </w:p>
    <w:p/>
    <w:p>
      <w:r>
        <w:t>To overcome these barriers, strategies such as risk mitigation tools—like guarantees and insurance—and innovative financing approaches are critical. Blended finance, which combines concessional public funds with private capital, helps de-risk projects and makes them more attractive to investors. Successful examples from regions like Kenya and Kazakhstan demonstrate how tailored approaches can unlock private investment even in high-risk environments.</w:t>
      </w:r>
    </w:p>
    <w:p/>
    <w:p>
      <w:r>
        <w:t>In essence, mobilizing private sector investment requires a combination of policy reforms, infrastructure development, and sophisticated financial instruments. These measures are vital to achieving a sustainable energy transition that is inclusive and resilient, especially for underserved regions.</w:t>
      </w:r>
    </w:p>
    <w:p/>
    <w:p>
      <w:r>
        <w:t>Stay with us as we explore in more detail how risk mitigation and blended finance strategies can further accelerate this crucial transition.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