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Bienvenido al Capítulo 2: Caminos de Mitigación.  </w:t>
      </w:r>
    </w:p>
    <w:p>
      <w:r>
        <w:t xml:space="preserve">En el capítulo anterior, exploramos los sistemas energéticos y de dónde provienen las emisiones. Ahora nos desplazamos hacia el camino por recorrer — las vías que realmente pueden reducir esas emisiones. En este capítulo, analizaremos cómo puede ocurrir la descarbonización en toda la economía, las innovaciones que la hacen posible y cómo la eficiencia y una demanda más inteligente pueden acelerar la transición.  </w:t>
      </w:r>
    </w:p>
    <w:p>
      <w:r>
        <w:t xml:space="preserve">Comenzaremos con los sectores de uso final — transporte, industria, agricultura y edificios. En el capítulo anterior vimos sus emisiones; ahora examinaremos cómo la electrificación, los combustibles bajos en carbono y los cambios en los procesos pueden reducirlas, especialmente en áreas difíciles de descarbonizar.  </w:t>
      </w:r>
    </w:p>
    <w:p>
      <w:r>
        <w:t xml:space="preserve">Luego pasaremos a las innovaciones. Destacaremos soluciones revolucionarias como el hidrógeno verde y el almacenamiento de energía a gran escala, y veremos cómo pueden complementar las energías renovables y hacer posible una descarbonización profunda.  </w:t>
      </w:r>
    </w:p>
    <w:p>
      <w:r>
        <w:t xml:space="preserve">A continuación, nos centraremos en la eficiencia energética y la gestión de la demanda. Exploraremos cómo “usar menos” y “usar de manera más inteligente” — a través de un mejor diseño de edificios, procesos industriales más eficientes y sistemas de transporte más inteligentes — pueden ofrecer reducciones inmediatas en las emisiones, reducir costos y aliviar la presión sobre la infraestructura.  </w:t>
      </w:r>
    </w:p>
    <w:p>
      <w:r>
        <w:t>Comencemos a explorar.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