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1: Tendencias futuras y proyecciones.  </w:t>
      </w:r>
    </w:p>
    <w:p>
      <w:r>
        <w:t xml:space="preserve">Nos encontramos en un momento crucial en el sector energético, con cambios rápidos que están transformando tanto la demanda como la oferta.  </w:t>
      </w:r>
    </w:p>
    <w:p>
      <w:r>
        <w:t xml:space="preserve">En el lado de la demanda, el uso global de energía está en aumento, impulsado por el crecimiento poblacional, la urbanización y el desarrollo económico. Para 2050, la ONU proyecta que el 68% de las personas vivirán en ciudades, lo que intensificará la demanda de electricidad. La digitalización y la inteligencia artificial están permitiendo redes más inteligentes, pero también añadiendo nuevas fuentes de demanda. En 2024, los centros de datos consumieron 415 teravatios-hora de electricidad —el 1,5% del uso global— y se espera que esto más que se duplique para 2030, superando el consumo actual de Japón. Medidas de eficiencia más estrictas podrían reducir en un tercio el crecimiento proyectado de la demanda, disminuyendo tanto los costos como las emisiones. Mientras tanto, el cambio climático está obligando a replantear la resiliencia energética.  </w:t>
      </w:r>
    </w:p>
    <w:p>
      <w:r>
        <w:t xml:space="preserve">En el lado de la oferta, las energías renovables están expandiéndose a una velocidad récord. En 2020, el mundo añadió 260 gigavatios de capacidad, siendo la solar y la eólica responsables del 91%. De cara al futuro, las energías renovables están destinadas a proporcionar la mayor parte de la nueva demanda, mientras que el gas natural y la nuclear seguirán siendo importantes para equilibrar las redes cuando la producción de solar y eólica disminuya.  </w:t>
      </w:r>
    </w:p>
    <w:p>
      <w:r>
        <w:t xml:space="preserve">A medida que la electricidad se convierta en el principal portador de energía para 2050, hogares, industrias e infraestructura digital impulsarán el consumo. La digitalización, aunque intensiva en energía, también ofrece herramientas poderosas para mejorar la eficiencia.  </w:t>
      </w:r>
    </w:p>
    <w:p>
      <w:r>
        <w:t>Las tendencias son claras: el futuro de la energía requiere una política coordinada, innovación tecnológica y cooperación internacional. Acompáñanos mientras exploramos los desafíos y caminos hacia un sistema energético más limpio e inteligente.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