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Bienvenido al Capítulo 2: Crear un entorno propicio para una transición energética impulsada por la innovación.  </w:t>
      </w:r>
    </w:p>
    <w:p>
      <w:r>
        <w:t xml:space="preserve">Impulsar la innovación en energía requiere las condiciones adecuadas: políticas efectivas, sectores emergentes y marcos inclusivos que hagan que la transición sea limpia, resiliente y justa.  </w:t>
      </w:r>
    </w:p>
    <w:p>
      <w:r>
        <w:t xml:space="preserve">Los mecanismos políticos y de mercado están en el centro. Herramientas bien diseñadas — como la fijación de precios del carbono, el comercio de emisiones y los incentivos específicos — ayudan a superar barreras, atraer capital privado y estimular la innovación a lo largo del ciclo de vida de la tecnología. Un equilibrio estratégico entre medidas de “impulso tecnológico”, como subsidios o créditos fiscales, y medidas de “impulso de mercado”, como estándares y adquisiciones, garantiza el progreso mientras se adapta al contexto de cada país.  </w:t>
      </w:r>
    </w:p>
    <w:p>
      <w:r>
        <w:t xml:space="preserve">Los sectores emergentes están redefiniendo las posibilidades. Soluciones distribuidas como la energía solar comunitaria y las microredes están expandiéndose rápidamente, mejorando tanto el acceso como la resiliencia. Tecnologías nuevas, incluyendo el comercio de energía entre pares, plataformas blockchain, células solares de próxima generación y energía oceánica, ofrecen promesas particulares. Para los pequeños estados insulares y costeros, innovaciones como las olas y la energía solar flotante pueden diversificar la matriz energética, fortalecer la resiliencia y alinearse con los objetivos de la economía azul — si cuentan con políticas específicas y inversión adecuada.  </w:t>
      </w:r>
    </w:p>
    <w:p>
      <w:r>
        <w:t xml:space="preserve">Igualmente importantes son los modelos de propiedad local. Las cooperativas energéticas empoderan a las comunidades para agrupar recursos, invertir en proyectos renovables compartidos y tener mayor control sobre su suministro energético. Estos modelos democratizan el acceso, crean empleos locales y mantienen los ingresos dentro de las comunidades, al mismo tiempo que construyen resiliencia a largo plazo en áreas rurales y desatendidas.  </w:t>
      </w:r>
    </w:p>
    <w:p>
      <w:r>
        <w:t xml:space="preserve">Finalmente, la inclusión es esencial. Los enfoques que integran perspectivas de género, socioeconómicas y locales aseguran que las transiciones beneficien a los más vulnerables. Los estudios de caso de Esuatini muestran cómo las políticas co-diseñadas y equitativas pueden generar resultados más sostenibles y justos.  </w:t>
      </w:r>
    </w:p>
    <w:p>
      <w:r>
        <w:t>En resumen, crear un entorno propicio significa integrar una gobernanza inteligente, tecnologías emergentes y marcos inclusivos. Juntos, estos elementos aceleran la innovación y garantizan que la transición energética no solo sea rápida, sino también equitativa y duradera.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