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Bienvenue au Module 6 : Explorer le lien entre Énergie et Climat  </w:t>
      </w:r>
    </w:p>
    <w:p>
      <w:r>
        <w:t xml:space="preserve">L'énergie est la principale source d'émissions mondiales de gaz à effet de serre, mais elle détient également la clé des solutions climatiques. Ce module adopte une approche holistique pour comprendre comment les systèmes énergétiques génèrent des émissions, les voies pour les réduire, et les stratégies pour s'adapter aux impacts du climat tout en préservant l'équité et la résilience.  </w:t>
      </w:r>
    </w:p>
    <w:p>
      <w:r>
        <w:t xml:space="preserve">Nous commençons par cartographier l'ensemble de la chaîne énergétique — production, distribution et utilisation — pour révéler où les émissions se produisent et où se trouvent les plus grandes opportunités de réduction. Nous examinons la production d'électricité, le transport, l'industrie, les bâtiments et l'utilisation des terres, montrant comment la dépendance ancrée aux combustibles fossiles, les actifs à long terme et les subventions créent un verrouillage carbone et pourquoi une transition juste avec des protections sociales est essentielle.  </w:t>
      </w:r>
    </w:p>
    <w:p>
      <w:r>
        <w:t xml:space="preserve">En nous appuyant sur cette base, nous explorons comment la décarbonation peut être réalisée à l’échelle de l’économie. Nous mettons en avant l’électrification, les carburants faibles en carbone et les changements de processus dans les secteurs difficiles à décarboner ; nous mettons en lumière des innovations telles que l’hydrogène vert, le stockage à grande échelle et les solutions numériques ; et expliquons comment l’efficacité énergétique et une demande plus intelligente peuvent permettre des réductions immédiates des émissions, réduire les coûts et alléger la pression sur les infrastructures.  </w:t>
      </w:r>
    </w:p>
    <w:p>
      <w:r>
        <w:t xml:space="preserve">Enfin, nous abordons les impacts climatiques déjà en cours. Nous analysons comment la chaleur extrême, les inondations, les tempêtes, la montée du niveau de la mer et la sécheresse menacent l’accès à l’énergie et la fiabilité, et présentons des stratégies pour des infrastructures résilientes au climat, des systèmes énergétiques diversifiés et décentralisés, ainsi que l’intégration du risque climatique dans la planification et le financement. Tout au long, nous soulignons l’importance d’une politique cohérente, d’un financement coordonné et d’une gouvernance inclusive pour que les mesures de résilience protègent les plus vulnérables tout en renforçant les objectifs de développement et de décarbonation.  </w:t>
      </w:r>
    </w:p>
    <w:p>
      <w:r>
        <w:t>Dans leur ensemble, ces éléments vous permettent de comprendre l’ensemble du paysage de l’énergie, de la mitigation, de l’innovation et de l’adaptation — et d’appliquer des approches intégrées qui conduisent à un avenir neutre en carbone et résilient face au climat.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