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chapitre 4 : Orientations futures pour les données dans le secteur de l'énergie.  </w:t>
      </w:r>
    </w:p>
    <w:p>
      <w:r>
        <w:t xml:space="preserve">Ce chapitre examine comment les technologies numériques et les infrastructures de données transforment la manière dont les systèmes énergétiques évoluent. Les plateformes cloud et les communs de données publics rendent le partage en temps réel possible et soutiennent des solutions évolutives. Pourtant, elles soulèvent également des préoccupations en matière d'efficacité, puisque les centres de données représentaient environ 1,5 % de la consommation électrique mondiale en 2023.  </w:t>
      </w:r>
    </w:p>
    <w:p>
      <w:r>
        <w:t xml:space="preserve">Les technologies émergentes jouent un rôle croissant. L'intelligence artificielle permet des prévisions plus précises, la maintenance prédictive et la coordination en temps réel de l'offre renouvelable. L'Internet des objets renforce la fiabilité du réseau en permettant des réponses plus rapides aux fluctuations de la demande et aux défaillances d'équipement. La blockchain crée de nouvelles opportunités pour l'échange d'énergie peer-to-peer et le suivi transparent des émissions, ce qui peut soutenir les marchés locaux de l'énergie à mesure que la capacité renouvelable se développe.  </w:t>
      </w:r>
    </w:p>
    <w:p>
      <w:r>
        <w:t xml:space="preserve">Ces avancées s'accompagnent de défis importants. Sans un accès équitable et une réglementation solide, les fractures numériques pourraient s'aggraver. L'interopérabilité est également essentielle. Des taxonomies partagées, des systèmes de métadonnées et des interfaces de programmation ouvertes réduisent la fragmentation et permettent une collaboration efficace entre gouvernements, startups et industries. Des initiatives telles que le Système d’échange de données Machine-to-Machine illustrent comment ces cadres peuvent fonctionner en pratique.  </w:t>
      </w:r>
    </w:p>
    <w:p>
      <w:r>
        <w:t xml:space="preserve">La capacité institutionnelle reste centrale. Les gouvernements doivent développer des compétences techniques, adapter les cadres politiques et utiliser des outils comme les sandbox réglementaires ou les partenariats transfrontaliers pour garantir que les données soient utilisées de manière sécurisée et transparente. À mesure que l'intelligence artificielle s'intègre davantage dans les décisions énergétiques, la protection de la vie privée, la responsabilité et l'équité seront essentielles.  </w:t>
      </w:r>
    </w:p>
    <w:p>
      <w:r>
        <w:t>Ce chapitre clôt le module, mais il soulève aussi une question : comment chacun de nous peut-il contribuer à construire des systèmes de données qui soient non seulement plus intelligents, mais aussi plus équitables ? Les réponses façonneront l'avenir de l'énergie durable.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