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Dans ce module, nous explorons comment la technologie, la politique et l'innovation transforment les systèmes énergétiques mondiaux.  </w:t>
      </w:r>
    </w:p>
    <w:p>
      <w:r>
        <w:t xml:space="preserve">La demande d'électricité augmente rapidement, stimulée par l'urbanisation, le changement démographique et une classe moyenne en croissance dans les économies émergentes. Cette poussée intensifiera le besoin de refroidissement, d'appareils électroménagers et d'électrification.  </w:t>
      </w:r>
    </w:p>
    <w:p>
      <w:r>
        <w:t xml:space="preserve">La digitalisation et l'intelligence artificielle peuvent améliorer l'efficacité et permettre une gestion plus intelligente du réseau — mais elles augmentent aussi la consommation d'énergie et présentent des risques en matière de cybersécurité, rendant l'investissement dans une infrastructure résiliente essentiel.  </w:t>
      </w:r>
    </w:p>
    <w:p>
      <w:r>
        <w:t xml:space="preserve">Du côté de l'offre, les énergies renouvelables se développent rapidement. L'énergie solaire photovoltaïque devrait représenter près de 80 % de la nouvelle capacité renouvelable d'ici 2030, tandis que l'éolien en mer devrait passer d'environ 9,5 GW en 2023 à plus de 45 GW par an d'ici 2030.  </w:t>
      </w:r>
    </w:p>
    <w:p>
      <w:r>
        <w:t xml:space="preserve">En regardant vers l'avenir, dans des trajectoires compatibles avec une limitation du réchauffement à 1,5°C, les énergies renouvelables pourraient fournir près de 90 % de l'électricité mondiale d'ici 2050, le solaire et l'éolien seul représentant environ 70 %. Réaliser cela nécessitera une planification minutieuse pour équilibrer l'utilisation des terres, les impacts environnementaux et l'équité sociale.  </w:t>
      </w:r>
    </w:p>
    <w:p>
      <w:r>
        <w:t>Cette transition comporte des défis, mais aussi d'immenses opportunités. Des politiques favorables, des avancées technologiques et des stratégies inclusives peuvent accélérer l'innovation — construisant un avenir énergétique durable, résilient et équitable.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