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модуль 5: Управление энергетикой для справедливого энергетического перехода  </w:t>
      </w:r>
    </w:p>
    <w:p>
      <w:r>
        <w:t xml:space="preserve">Глобальный переход к устойчивой энергии — это не просто технологическая трансформация; это глубокая задача управления. Решения о том, кто устанавливает приоритеты, как реализуются политики и как распределяются выгоды и бремена, определят, ускорит ли энергетический переход развитие или усугубит неравенство. Этот модуль рассматривает управление энергетикой как центральный столп справедливого перехода, исследуя структуры, принципы и инструменты, превращающие амбиции в устойчивые результаты.  </w:t>
      </w:r>
    </w:p>
    <w:p>
      <w:r>
        <w:t xml:space="preserve">Эффективное управление обеспечивает стратегическое направление для изменений. Оно согласует национальные цели с международными обязательствами, переводит долгосрочные климатические задачи в практические планы и создает институты, способные координировать действия в различных секторах и на уровнях власти. В то же время оно устанавливает надежные правила и стимулы, которые дают инвесторам, коммунальным службам и сообществам уверенность в действиях, одновременно защищая общественные интересы и экологическую целостность.  </w:t>
      </w:r>
    </w:p>
    <w:p>
      <w:r>
        <w:t xml:space="preserve">Хорошее управление не ограничивается регулированием; оно также использует рынки и партнерства. Хорошо разработанные экономические инструменты могут мобилизовать частный капитал и инновации, а договорные соглашения распределяют риски и ответственности таким образом, чтобы проекты были привлекательными для финансирования и результаты — измеримыми. Инклюзивность и прозрачность остаются универсальными приоритетами, обеспечивая активное участие женщин, молодежи, коренных народов и уязвимых групп в формировании энергетического будущего.  </w:t>
      </w:r>
    </w:p>
    <w:p>
      <w:r>
        <w:t xml:space="preserve">Этот модуль предоставляет рамки для понимания и применения этих элементов. Он переходит от принципов к практике, показывая, как планирование, регулирующие меры, рыночные стимулы и договорные инструменты могут быть объединены в согласованные стратегии.  </w:t>
      </w:r>
    </w:p>
    <w:p>
      <w:r>
        <w:t>Давайте начнем наше путешествие по модулю 5 и посмотрим, как эффективное управление делает возможным справедливый энергетический переход.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