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2: Создание благоприятной среды для инновационной энергетической трансформации.  </w:t>
      </w:r>
    </w:p>
    <w:p>
      <w:r>
        <w:t xml:space="preserve">Продвижение инноваций в энергетике требует правильных условий: эффективных политик, развивающихся секторов и инклюзивных рамок, которые делают переход чистым, устойчивым и справедливым.  </w:t>
      </w:r>
    </w:p>
    <w:p>
      <w:r>
        <w:t xml:space="preserve">Механизмы политики и рынка находятся в центре внимания. Хорошо разработанные инструменты — такие как ценообразование на углерод, торговля выбросами и целевые стимулы — помогают преодолевать барьеры, привлекать частный капитал и стимулировать инновации на протяжении всего жизненного цикла технологий. Стратегический баланс мер «технологического толчка», таких как субсидии или налоговые кредиты, и мер «рыночного спроса», таких как стандарты и закупки, обеспечивает прогресс при адаптации к конкретному контексту каждой страны.  </w:t>
      </w:r>
    </w:p>
    <w:p>
      <w:r>
        <w:t xml:space="preserve">Развивающиеся сектора меняют возможности. Распределённые решения, такие как солнечные установки для сообществ и микроэнергосистемы, быстро расширяются, улучшая доступ и устойчивость. Новые технологии, включая пиринг-пиринг торговлю энергией, платформы на базе блокчейн, солнечные элементы следующего поколения и океанскую энергию, особенно перспективны. Для малых островных и прибрежных государств инновации, такие как приливная и плавающая солнечная энергия, могут диверсифицировать энергетический микс, укрепить устойчивость и соответствовать целям голубой экономики — при условии поддержки целенаправленной политикой и инвестициями.  </w:t>
      </w:r>
    </w:p>
    <w:p>
      <w:r>
        <w:t xml:space="preserve">Не менее важны модели местной собственности. Энергетические кооперативы дают сообществам возможность объединять ресурсы, инвестировать в совместные возобновляемые проекты и получать больший контроль над своим энергоснабжением. Эти модели демократизируют доступ, создают местные рабочие места и оставляют доходы внутри сообществ, одновременно укрепляя долгосрочную устойчивость в сельских и недостаточно обслуживаемых районах.  </w:t>
      </w:r>
    </w:p>
    <w:p>
      <w:r>
        <w:t xml:space="preserve">Наконец, инклюзивность является ключевым аспектом. Подходы, учитывающие гендерные, социально-экономические и местные перспективы, обеспечивают, чтобы переходы приносили пользу наиболее уязвимым. Кейсы из Эсватини показывают, как совместно разработанные, справедливые политики могут создавать более устойчивые и справедливые результаты.  </w:t>
      </w:r>
    </w:p>
    <w:p>
      <w:r>
        <w:t>В целом, создание благоприятной среды означает интеграцию умного управления, новых технологий и инклюзивных рамок. Вместе эти элементы ускоряют инновации и обеспечивают, чтобы энергетический переход был не только быстрым, но и справедливым и долговечным.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