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在本模块中，我们探讨了技术、政策和创新如何重塑全球能源系统。</w:t>
      </w:r>
    </w:p>
    <w:p>
      <w:r>
        <w:t>电力需求快速增长，受城市化、人口结构变化以及新兴经济体中不断增长的中产阶级的推动。这一激增将加剧对冷却设备、家用电器和电气化的需求。</w:t>
      </w:r>
    </w:p>
    <w:p>
      <w:r>
        <w:t>数字化和人工智能可以提高效率，实现更智能的电网管理——但它们也会增加能源消耗，并带来网络安全风险，因此投资于具有韧性的基础设施变得至关重要。</w:t>
      </w:r>
    </w:p>
    <w:p>
      <w:r>
        <w:t>在供应方面，可再生能源正在快速扩展。预计到2030年，太阳能光伏将占新可再生能源容量的近80%，而海上风电预计将从2023年的约9.5吉瓦扩大到2030年的每年超过45吉瓦。</w:t>
      </w:r>
    </w:p>
    <w:p>
      <w:r>
        <w:t>展望未来，在与限制全球变暖至1.5°C的路径一致的情况下，到2050年，可再生能源可能提供近90%的全球电力，其中仅太阳能和风能就能提供约70%。实现这一目标需要精心规划，以平衡土地利用、环境影响和社会公平。</w:t>
      </w:r>
    </w:p>
    <w:p>
      <w:r>
        <w:t>这一转型带来了挑战，但也蕴藏着巨大机遇。支持性政策、技术突破和包容性策略可以加速创新——构建一个可持续、具有韧性且公平的能源未来。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