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الأول: مقدمة لمشهد الانتقال الطاقي.</w:t>
      </w:r>
    </w:p>
    <w:p>
      <w:r>
        <w:t>على مستوى العالم، تشهد أنظمة الطاقة تغييرات جذرية. لقد وضعت الحاجة الملحة لمواجهة تغير المناخ، جنبًا إلى جنب مع انخفاض تكاليف تقنيات الطاقة المتجددة، الانتقال الطاقي في مركز السياسات والاستثمارات العالمية. يؤكد علماء المناخ أن العقد من 2020 إلى 2030 سيكون حاسمًا في الحد من الاحترار العالمي إلى درجة ونصف مئوية، وأن الإجراءات التي تتخذ خلال هذه السنوات ستشكل مستقبل الطاقة لأجيال قادمة.</w:t>
      </w:r>
    </w:p>
    <w:p>
      <w:r>
        <w:t>تُظهر البيانات الحديثة وتيرة التقدم. في عام 2024، تم إضافة حوالي سبعمائة وأربعين جيجاوات من قدرات الطاقة المتجددة على مستوى العالم. وكان هذا أكبر زيادة سنوية مسجلة على الإطلاق. تتصدر الطاقة الشمسية وطاقة الرياح هذا النمو، مدعومة بالتقدم في تقنيات التخزين ودمج الشبكات. تمثل هذه التطورات تغييرًا هيكليًا في مزيج الطاقة، حيث تتراجع الوقود الأحفوري تدريجيًا لصالح مصادر أنظف.</w:t>
      </w:r>
    </w:p>
    <w:p>
      <w:r>
        <w:t>مفهوم الانتقال العادل للطاقة هو محور فهم هذا التحول. فهو يشير إلى إدارة الانتقال بعيدًا عن الوقود الأحفوري بطريقة مستدامة بيئيًا، وشاملة اجتماعيًا، وعادلة اقتصاديًا. يسعى إلى تصحيح الاختلالات في التحولات الطاقية السابقة، حيث كانت الفوائد والأعباء غير موزعة بشكل متساوٍ. يتطلب الانتقال العادل تخطيطًا للعمال والمجتمعات التي تعتمد سبل عيشها على الوقود الأحفوري، مع ضمان أن تصل فوائد الطاقة النظيفة — مثل تحسين الصحة، وخلق فرص عمل جديدة، والوصول الميسور — إلى جميع الفئات، خاصة تلك التي تُركت وراءها تاريخيًا.</w:t>
      </w:r>
    </w:p>
    <w:p>
      <w:r>
        <w:t>الحوكمة القوية ضرورية لتحقيق ذلك. الانتقال الطاقي ليس مجرد تركيب ألواح شمسية أو بناء مزارع رياح. بل يتطلب أيضًا سياسات، ومؤسسات، وتنظيمات تتوقع المخاطر وتشارك الفرص بشكل عادل. من الأمثلة على ذلك التدريب المهني طويل الأمد، والدعم المالي للدول النامية الذي يقلل من الاعتماد على الديون، واتخاذ القرارات بمشاركة المجتمع التي تعطي صوتًا ذا معنى.</w:t>
      </w:r>
    </w:p>
    <w:p>
      <w:r>
        <w:t>التحديات معقدة بشكل خاص في الجنوب العالمي. يتعين على العديد من الدول تقليل اعتمادها على الوقود الأحفوري مع توسيع الوصول إلى الكهرباء وإدارة الضغوط على الأراضي والمياه. وفي الوقت نفسه، تسعى إلى الاستفادة من الفرص الاقتصادية من خلال تطوير صناعات حول المعادن الحيوية والتصنيع المتعلق بالطاقة المتجددة. تتطلب هذه الأهداف استراتيجيات طموحة ومخصصة لكل سياق وطني.</w:t>
      </w:r>
    </w:p>
    <w:p>
      <w:r>
        <w:t>سيقدم هذا الفصل المحركات الرئيسية للانتقال الطاقي العالمي، والأطراف الفاعلة الرئيسية التي تشكله، والأسباب التي جعلت العدالة والشمول الاجتماعي عنصرين أساسيين في سياسة الطاقة. ستعدك هذه الأساسيات لاستكشاف الفرص والمخاطر التي تحدد الانتقال العادل للطاقة بمزيد من العمق.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