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في هذه الوحدة، نستكشف كيف يعيد التكنولوجيا والسياسة والابتكار تشكيل أنظمة الطاقة العالمية.</w:t>
      </w:r>
    </w:p>
    <w:p>
      <w:r>
        <w:t>يتزايد الطلب على الكهرباء بسرعة، مدفوعًا بالتحضر، والتغير الديموغرافي، وارتفاع الطبقة الوسطى في الاقتصادات الناشئة. هذا الارتفاع سيزيد من الحاجة إلى التبريد، والأجهزة، والكهرباء.</w:t>
      </w:r>
    </w:p>
    <w:p>
      <w:r>
        <w:t>يمكن للتحول الرقمي والذكاء الاصطناعي أن يعززا الكفاءة ويمكنا من إدارة الشبكة بشكل أذكى — لكنهما أيضًا يزيدان من استهلاك الطاقة ويجلبان مخاطر الأمن السيبراني، مما يجعل الاستثمار في البنية التحتية المقاومة ضروريًا.</w:t>
      </w:r>
    </w:p>
    <w:p>
      <w:r>
        <w:t>من ناحية العرض، تتوسع مصادر الطاقة المتجددة بسرعة. من المتوقع أن تشكل الطاقة الشمسية الكهروضوئية حوالي 80% من القدرة الجديدة للطاقة المتجددة حتى عام 2030، في حين من المتوقع أن يتوسع طاقة الرياح البحرية من حوالي 9.5 جيجاوات في 2023 إلى أكثر من 45 جيجاوات سنويًا بحلول 2030.</w:t>
      </w:r>
    </w:p>
    <w:p>
      <w:r>
        <w:t>بالنظر إلى المستقبل، في مسارات تتوافق مع الحد من الاحترار إلى 1.5 درجة مئوية، يمكن أن توفر مصادر الطاقة المتجددة ما يقرب من 90% من الكهرباء العالمية بحلول عام 2050، مع أن توفر الطاقة الشمسية والرياح وحدهما حوالي 70%. سيتطلب تحقيق ذلك تخطيطًا دقيقًا لموازنة استخدام الأراضي، والتأثيرات البيئية، والعدالة الاجتماعية.</w:t>
      </w:r>
    </w:p>
    <w:p>
      <w:r>
        <w:t>يجلب هذا التحول تحديات، لكنه يوفر أيضًا فرصًا هائلة. يمكن للسياسات الداعمة، والاختراقات التكنولوجية، والاستراتيجيات الشاملة أن تسرع الابتكار — لبناء مستقبل طاقة مستدام، ومرن، وعادل.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