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الأول: الاتجاهات المستقبلية والتوقعات.</w:t>
      </w:r>
    </w:p>
    <w:p>
      <w:r>
        <w:t>نقف عند لحظة حاسمة في قطاع الطاقة، مع تغييرات سريعة تعيد تشكيل كل من الطلب والعرض.</w:t>
      </w:r>
    </w:p>
    <w:p>
      <w:r>
        <w:t>من جانب الطلب، يرتفع استهلاك الطاقة العالمي، مدفوعًا بالنمو السكاني، والتحضر، والتنمية الاقتصادية. بحلول عام 2050، تتوقع الأمم المتحدة أن يعيش 68٪ من الناس في المدن، مما يزيد من الطلب على الكهرباء. تتيح الرقمنة والذكاء الاصطناعي شبكات أكثر ذكاءً، ولكنها تضيف أيضًا مصادر جديدة للطلب. في عام 2024، استهلكت مراكز البيانات 415 تيراواط ساعة من الكهرباء — أي 1.5٪ من الاستخدام العالمي — ومن المتوقع أن يتضاعف هذا أكثر من مرة بحلول عام 2030، متجاوزًا استهلاك اليابان الحالي. يمكن لتدابير الكفاءة الأقوى أن تقلل من نمو الطلب المتوقع بمقدار الثلث، مما يقلل من التكاليف والانبعاثات على حد سواء. في الوقت نفسه، يجبر تغير المناخ على إعادة التفكير في مرونة الطاقة.</w:t>
      </w:r>
    </w:p>
    <w:p>
      <w:r>
        <w:t>من جانب العرض، تتوسع مصادر الطاقة المتجددة بسرعة قياسية. في عام 2020، أضاف العالم 260 جيجاوات من القدرة، حيث شكلت الطاقة الشمسية والرياح 91٪ منها. وبالنظر إلى المستقبل، من المقرر أن توفر مصادر الطاقة المتجددة الحصة الأكبر من الطلب الجديد، بينما ستظل الغاز الطبيعي والطاقة النووية مهمة لموازنة الشبكات عندما ينخفض إنتاج الطاقة الشمسية والرياح.</w:t>
      </w:r>
    </w:p>
    <w:p>
      <w:r>
        <w:t>مع ظهور الكهرباء كمصدر طاقة سائد بحلول عام 2050، ستقود المنازل والصناعات والبنية التحتية الرقمية جميعها الاستهلاك. على الرغم من أن الرقمنة تستهلك الكثير من الطاقة، إلا أنها تقدم أيضًا أدوات قوية لتحسين الكفاءة.</w:t>
      </w:r>
    </w:p>
    <w:p>
      <w:r>
        <w:t>الاتجاهات واضحة: مستقبل الطاقة يتطلب تنسيق السياسات، والابتكار التكنولوجي، والتعاون الدولي. ابقوا معنا بينما نستكشف التحديات والطرق نحو نظام طاقة أنظف وأكثر ذكاءً.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