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32F59F17" w:rsidP="0D4C6756" w:rsidRDefault="32F59F17" w14:paraId="5FEEBC06" w14:textId="31559E06">
      <w:pPr>
        <w:rPr>
          <w:rFonts w:ascii="Cambria" w:hAnsi="Cambria" w:eastAsia="Cambria" w:cs="Cambria"/>
          <w:b w:val="0"/>
          <w:bCs w:val="0"/>
          <w:noProof w:val="0"/>
          <w:sz w:val="22"/>
          <w:szCs w:val="22"/>
          <w:lang w:val="en-US"/>
        </w:rPr>
      </w:pPr>
      <w:r w:rsidRPr="0D4C6756" w:rsidR="32F59F17">
        <w:rPr>
          <w:rFonts w:ascii="Cambria" w:hAnsi="Cambria" w:eastAsia="Cambria" w:cs="Cambria"/>
          <w:b w:val="0"/>
          <w:bCs w:val="0"/>
          <w:noProof w:val="0"/>
          <w:sz w:val="22"/>
          <w:szCs w:val="22"/>
          <w:lang w:val="en-US"/>
        </w:rPr>
        <w:t>Welcome to Chapter One: Introduction to the Energy Transition Landscape.</w:t>
      </w:r>
    </w:p>
    <w:p w:rsidR="32F59F17" w:rsidP="0D4C6756" w:rsidRDefault="32F59F17" w14:paraId="143E1756" w14:textId="19285021">
      <w:pPr>
        <w:rPr>
          <w:rFonts w:ascii="Cambria" w:hAnsi="Cambria" w:eastAsia="Cambria" w:cs="Cambria"/>
          <w:b w:val="0"/>
          <w:bCs w:val="0"/>
          <w:noProof w:val="0"/>
          <w:sz w:val="22"/>
          <w:szCs w:val="22"/>
          <w:lang w:val="en-US"/>
        </w:rPr>
      </w:pPr>
      <w:r w:rsidRPr="0D4C6756" w:rsidR="32F59F17">
        <w:rPr>
          <w:rFonts w:ascii="Cambria" w:hAnsi="Cambria" w:eastAsia="Cambria" w:cs="Cambria"/>
          <w:b w:val="0"/>
          <w:bCs w:val="0"/>
          <w:noProof w:val="0"/>
          <w:sz w:val="22"/>
          <w:szCs w:val="22"/>
          <w:lang w:val="en-US"/>
        </w:rPr>
        <w:t xml:space="preserve">Across the world, energy systems are undergoing profound change. The urgency of climate change, together with falling costs for renewable technologies, has placed energy transition at the center of global policy and investment. Climate scientists stress that the decade from </w:t>
      </w:r>
      <w:r w:rsidRPr="0D4C6756" w:rsidR="02E9ED36">
        <w:rPr>
          <w:rFonts w:ascii="Cambria" w:hAnsi="Cambria" w:eastAsia="Cambria" w:cs="Cambria"/>
          <w:b w:val="0"/>
          <w:bCs w:val="0"/>
          <w:noProof w:val="0"/>
          <w:sz w:val="22"/>
          <w:szCs w:val="22"/>
          <w:lang w:val="en-US"/>
        </w:rPr>
        <w:t>2020</w:t>
      </w:r>
      <w:r w:rsidRPr="0D4C6756" w:rsidR="32F59F17">
        <w:rPr>
          <w:rFonts w:ascii="Cambria" w:hAnsi="Cambria" w:eastAsia="Cambria" w:cs="Cambria"/>
          <w:b w:val="0"/>
          <w:bCs w:val="0"/>
          <w:noProof w:val="0"/>
          <w:sz w:val="22"/>
          <w:szCs w:val="22"/>
          <w:lang w:val="en-US"/>
        </w:rPr>
        <w:t xml:space="preserve"> to </w:t>
      </w:r>
      <w:r w:rsidRPr="0D4C6756" w:rsidR="2922D16E">
        <w:rPr>
          <w:rFonts w:ascii="Cambria" w:hAnsi="Cambria" w:eastAsia="Cambria" w:cs="Cambria"/>
          <w:b w:val="0"/>
          <w:bCs w:val="0"/>
          <w:noProof w:val="0"/>
          <w:sz w:val="22"/>
          <w:szCs w:val="22"/>
          <w:lang w:val="en-US"/>
        </w:rPr>
        <w:t>2030</w:t>
      </w:r>
      <w:r w:rsidRPr="0D4C6756" w:rsidR="32F59F17">
        <w:rPr>
          <w:rFonts w:ascii="Cambria" w:hAnsi="Cambria" w:eastAsia="Cambria" w:cs="Cambria"/>
          <w:b w:val="0"/>
          <w:bCs w:val="0"/>
          <w:noProof w:val="0"/>
          <w:sz w:val="22"/>
          <w:szCs w:val="22"/>
          <w:lang w:val="en-US"/>
        </w:rPr>
        <w:t xml:space="preserve"> will be decisive in limiting global warming to one point five degrees Celsius, and the actions taken during these years will shape the future of energy for generations.</w:t>
      </w:r>
    </w:p>
    <w:p w:rsidR="32F59F17" w:rsidP="0D4C6756" w:rsidRDefault="32F59F17" w14:paraId="4359730A" w14:textId="01DF3F02">
      <w:pPr>
        <w:rPr>
          <w:rFonts w:ascii="Cambria" w:hAnsi="Cambria" w:eastAsia="Cambria" w:cs="Cambria"/>
          <w:b w:val="0"/>
          <w:bCs w:val="0"/>
          <w:noProof w:val="0"/>
          <w:sz w:val="22"/>
          <w:szCs w:val="22"/>
          <w:lang w:val="en-US"/>
        </w:rPr>
      </w:pPr>
      <w:r w:rsidRPr="0D4C6756" w:rsidR="32F59F17">
        <w:rPr>
          <w:rFonts w:ascii="Cambria" w:hAnsi="Cambria" w:eastAsia="Cambria" w:cs="Cambria"/>
          <w:b w:val="0"/>
          <w:bCs w:val="0"/>
          <w:noProof w:val="0"/>
          <w:sz w:val="22"/>
          <w:szCs w:val="22"/>
          <w:lang w:val="en-US"/>
        </w:rPr>
        <w:t xml:space="preserve">Recent data shows the pace of progress. In </w:t>
      </w:r>
      <w:r w:rsidRPr="0D4C6756" w:rsidR="386287D8">
        <w:rPr>
          <w:rFonts w:ascii="Cambria" w:hAnsi="Cambria" w:eastAsia="Cambria" w:cs="Cambria"/>
          <w:b w:val="0"/>
          <w:bCs w:val="0"/>
          <w:noProof w:val="0"/>
          <w:sz w:val="22"/>
          <w:szCs w:val="22"/>
          <w:lang w:val="en-US"/>
        </w:rPr>
        <w:t>2024</w:t>
      </w:r>
      <w:r w:rsidRPr="0D4C6756" w:rsidR="32F59F17">
        <w:rPr>
          <w:rFonts w:ascii="Cambria" w:hAnsi="Cambria" w:eastAsia="Cambria" w:cs="Cambria"/>
          <w:b w:val="0"/>
          <w:bCs w:val="0"/>
          <w:noProof w:val="0"/>
          <w:sz w:val="22"/>
          <w:szCs w:val="22"/>
          <w:lang w:val="en-US"/>
        </w:rPr>
        <w:t>, about seven hundred forty gigawatts of renewable power capacity were added worldwide. This was the largest annual increase ever recorded. Solar and wind power lead this growth, supported by advances in storage technologies and grid integration. These developments mark a structural change in the energy mix, with fossil fuels steadily giving way to cleaner sources.</w:t>
      </w:r>
    </w:p>
    <w:p w:rsidR="32F59F17" w:rsidP="0D4C6756" w:rsidRDefault="32F59F17" w14:paraId="47445CD6" w14:textId="78BE2757">
      <w:pPr>
        <w:rPr>
          <w:rFonts w:ascii="Cambria" w:hAnsi="Cambria" w:eastAsia="Cambria" w:cs="Cambria"/>
          <w:b w:val="0"/>
          <w:bCs w:val="0"/>
          <w:noProof w:val="0"/>
          <w:sz w:val="22"/>
          <w:szCs w:val="22"/>
          <w:lang w:val="en-US"/>
        </w:rPr>
      </w:pPr>
      <w:r w:rsidRPr="0D4C6756" w:rsidR="32F59F17">
        <w:rPr>
          <w:rFonts w:ascii="Cambria" w:hAnsi="Cambria" w:eastAsia="Cambria" w:cs="Cambria"/>
          <w:b w:val="0"/>
          <w:bCs w:val="0"/>
          <w:noProof w:val="0"/>
          <w:sz w:val="22"/>
          <w:szCs w:val="22"/>
          <w:lang w:val="en-US"/>
        </w:rPr>
        <w:t xml:space="preserve">The concept of a </w:t>
      </w:r>
      <w:r w:rsidRPr="0D4C6756" w:rsidR="32F59F17">
        <w:rPr>
          <w:rFonts w:ascii="Cambria" w:hAnsi="Cambria" w:eastAsia="Cambria" w:cs="Cambria"/>
          <w:b w:val="0"/>
          <w:bCs w:val="0"/>
          <w:noProof w:val="0"/>
          <w:sz w:val="22"/>
          <w:szCs w:val="22"/>
          <w:lang w:val="en-US"/>
        </w:rPr>
        <w:t>just energy transition</w:t>
      </w:r>
      <w:r w:rsidRPr="0D4C6756" w:rsidR="32F59F17">
        <w:rPr>
          <w:rFonts w:ascii="Cambria" w:hAnsi="Cambria" w:eastAsia="Cambria" w:cs="Cambria"/>
          <w:b w:val="0"/>
          <w:bCs w:val="0"/>
          <w:noProof w:val="0"/>
          <w:sz w:val="22"/>
          <w:szCs w:val="22"/>
          <w:lang w:val="en-US"/>
        </w:rPr>
        <w:t xml:space="preserve"> is central to understanding this shift. It refers to managing the move away from fossil fuels in a way that is environmentally sustainable, socially inclusive, and economically fair. It </w:t>
      </w:r>
      <w:r w:rsidRPr="0D4C6756" w:rsidR="32F59F17">
        <w:rPr>
          <w:rFonts w:ascii="Cambria" w:hAnsi="Cambria" w:eastAsia="Cambria" w:cs="Cambria"/>
          <w:b w:val="0"/>
          <w:bCs w:val="0"/>
          <w:noProof w:val="0"/>
          <w:sz w:val="22"/>
          <w:szCs w:val="22"/>
          <w:lang w:val="en-US"/>
        </w:rPr>
        <w:t>seeks</w:t>
      </w:r>
      <w:r w:rsidRPr="0D4C6756" w:rsidR="32F59F17">
        <w:rPr>
          <w:rFonts w:ascii="Cambria" w:hAnsi="Cambria" w:eastAsia="Cambria" w:cs="Cambria"/>
          <w:b w:val="0"/>
          <w:bCs w:val="0"/>
          <w:noProof w:val="0"/>
          <w:sz w:val="22"/>
          <w:szCs w:val="22"/>
          <w:lang w:val="en-US"/>
        </w:rPr>
        <w:t xml:space="preserve"> to correct the imbalances of past energy transitions, where the benefits and burdens were unevenly distributed. A just transition requires planning for workers and communities whose livelihoods depend on fossil fuels, while also ensuring that the benefits of cleaner energy—such as improved health, new employment, and affordable access—reach all groups, especially those historically left behind.</w:t>
      </w:r>
    </w:p>
    <w:p w:rsidR="32F59F17" w:rsidP="0D4C6756" w:rsidRDefault="32F59F17" w14:paraId="004D4410" w14:textId="7A4AFBFF">
      <w:pPr>
        <w:rPr>
          <w:rFonts w:ascii="Cambria" w:hAnsi="Cambria" w:eastAsia="Cambria" w:cs="Cambria"/>
          <w:b w:val="0"/>
          <w:bCs w:val="0"/>
          <w:noProof w:val="0"/>
          <w:sz w:val="22"/>
          <w:szCs w:val="22"/>
          <w:lang w:val="en-US"/>
        </w:rPr>
      </w:pPr>
      <w:r w:rsidRPr="0D4C6756" w:rsidR="32F59F17">
        <w:rPr>
          <w:rFonts w:ascii="Cambria" w:hAnsi="Cambria" w:eastAsia="Cambria" w:cs="Cambria"/>
          <w:b w:val="0"/>
          <w:bCs w:val="0"/>
          <w:noProof w:val="0"/>
          <w:sz w:val="22"/>
          <w:szCs w:val="22"/>
          <w:lang w:val="en-US"/>
        </w:rPr>
        <w:t xml:space="preserve">Strong governance is essential to make this possible. Energy transition is not only a matter of installing solar panels or building wind farms. It also requires policies, institutions, and regulations that </w:t>
      </w:r>
      <w:r w:rsidRPr="0D4C6756" w:rsidR="32F59F17">
        <w:rPr>
          <w:rFonts w:ascii="Cambria" w:hAnsi="Cambria" w:eastAsia="Cambria" w:cs="Cambria"/>
          <w:b w:val="0"/>
          <w:bCs w:val="0"/>
          <w:noProof w:val="0"/>
          <w:sz w:val="22"/>
          <w:szCs w:val="22"/>
          <w:lang w:val="en-US"/>
        </w:rPr>
        <w:t>anticipate</w:t>
      </w:r>
      <w:r w:rsidRPr="0D4C6756" w:rsidR="32F59F17">
        <w:rPr>
          <w:rFonts w:ascii="Cambria" w:hAnsi="Cambria" w:eastAsia="Cambria" w:cs="Cambria"/>
          <w:b w:val="0"/>
          <w:bCs w:val="0"/>
          <w:noProof w:val="0"/>
          <w:sz w:val="22"/>
          <w:szCs w:val="22"/>
          <w:lang w:val="en-US"/>
        </w:rPr>
        <w:t xml:space="preserve"> risks and share opportunities equitably. Examples include long-term workforce training, financial support for developing countries that reduces reliance on debt, and participatory decision-making that gives communities a meaningful voice.</w:t>
      </w:r>
    </w:p>
    <w:p w:rsidR="32F59F17" w:rsidP="0D4C6756" w:rsidRDefault="32F59F17" w14:paraId="76B96A92" w14:textId="7C5133C7">
      <w:pPr>
        <w:rPr>
          <w:rFonts w:ascii="Cambria" w:hAnsi="Cambria" w:eastAsia="Cambria" w:cs="Cambria"/>
          <w:b w:val="0"/>
          <w:bCs w:val="0"/>
          <w:noProof w:val="0"/>
          <w:sz w:val="22"/>
          <w:szCs w:val="22"/>
          <w:lang w:val="en-US"/>
        </w:rPr>
      </w:pPr>
      <w:r w:rsidRPr="0D4C6756" w:rsidR="32F59F17">
        <w:rPr>
          <w:rFonts w:ascii="Cambria" w:hAnsi="Cambria" w:eastAsia="Cambria" w:cs="Cambria"/>
          <w:b w:val="0"/>
          <w:bCs w:val="0"/>
          <w:noProof w:val="0"/>
          <w:sz w:val="22"/>
          <w:szCs w:val="22"/>
          <w:lang w:val="en-US"/>
        </w:rPr>
        <w:t xml:space="preserve">Challenges are especially complex in the Global South. Many countries must reduce dependence on fossil fuels while also expanding electricity access and managing pressures on land and water. At the same time, they are </w:t>
      </w:r>
      <w:r w:rsidRPr="0D4C6756" w:rsidR="32F59F17">
        <w:rPr>
          <w:rFonts w:ascii="Cambria" w:hAnsi="Cambria" w:eastAsia="Cambria" w:cs="Cambria"/>
          <w:b w:val="0"/>
          <w:bCs w:val="0"/>
          <w:noProof w:val="0"/>
          <w:sz w:val="22"/>
          <w:szCs w:val="22"/>
          <w:lang w:val="en-US"/>
        </w:rPr>
        <w:t>seeking</w:t>
      </w:r>
      <w:r w:rsidRPr="0D4C6756" w:rsidR="32F59F17">
        <w:rPr>
          <w:rFonts w:ascii="Cambria" w:hAnsi="Cambria" w:eastAsia="Cambria" w:cs="Cambria"/>
          <w:b w:val="0"/>
          <w:bCs w:val="0"/>
          <w:noProof w:val="0"/>
          <w:sz w:val="22"/>
          <w:szCs w:val="22"/>
          <w:lang w:val="en-US"/>
        </w:rPr>
        <w:t xml:space="preserve"> to capture economic opportunities through the development of industries around critical minerals and renewable manufacturing. These goals require strategies that are both ambitious and tailored to each national context.</w:t>
      </w:r>
    </w:p>
    <w:p w:rsidR="32F59F17" w:rsidP="0D4C6756" w:rsidRDefault="32F59F17" w14:paraId="2E2F9C20" w14:textId="3D426437">
      <w:pPr>
        <w:rPr>
          <w:rFonts w:ascii="Cambria" w:hAnsi="Cambria" w:eastAsia="Cambria" w:cs="Cambria"/>
          <w:b w:val="0"/>
          <w:bCs w:val="0"/>
          <w:noProof w:val="0"/>
          <w:sz w:val="22"/>
          <w:szCs w:val="22"/>
          <w:lang w:val="en-US"/>
        </w:rPr>
      </w:pPr>
      <w:r w:rsidRPr="0D4C6756" w:rsidR="32F59F17">
        <w:rPr>
          <w:rFonts w:ascii="Cambria" w:hAnsi="Cambria" w:eastAsia="Cambria" w:cs="Cambria"/>
          <w:b w:val="0"/>
          <w:bCs w:val="0"/>
          <w:noProof w:val="0"/>
          <w:sz w:val="22"/>
          <w:szCs w:val="22"/>
          <w:lang w:val="en-US"/>
        </w:rPr>
        <w:t>This chapter will introduce the main drivers of the global energy transition, the key actors shaping it, and the reasons why equity and social inclusion are now considered essential elements of energy policy. This foundation will prepare you to explore in greater depth the opportunities and trade-offs that define the just energy transition.</w:t>
      </w:r>
    </w:p>
    <w:p w:rsidR="0D4C6756" w:rsidP="0D4C6756" w:rsidRDefault="0D4C6756" w14:paraId="0DEA175A" w14:textId="0AB79DA1">
      <w:pPr>
        <w:pStyle w:val="Normal"/>
        <w:rPr>
          <w:b w:val="0"/>
          <w:bCs w:val="0"/>
        </w:rPr>
      </w:pP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E9ED36"/>
    <w:rsid w:val="0D4C6756"/>
    <w:rsid w:val="10E20D83"/>
    <w:rsid w:val="2457144B"/>
    <w:rsid w:val="2922D16E"/>
    <w:rsid w:val="32F59F17"/>
    <w:rsid w:val="386287D8"/>
    <w:rsid w:val="59816A01"/>
    <w:rsid w:val="6665670F"/>
    <w:rsid w:val="6F6E1E83"/>
    <w:rsid w:val="70B41752"/>
    <w:rsid w:val="7543F21F"/>
    <w:rsid w:val="7D6BD247"/>
    <w:rsid w:val="7F3D00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F8BDC63-D9D0-4C10-8B67-6A91CAD9B14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4.xml" Id="rId11" /><Relationship Type="http://schemas.openxmlformats.org/officeDocument/2006/relationships/settings" Target="settings.xml" Id="rId5" /><Relationship Type="http://schemas.openxmlformats.org/officeDocument/2006/relationships/customXml" Target="../customXml/item3.xml" Id="rId10" /><Relationship Type="http://schemas.microsoft.com/office/2007/relationships/stylesWithEffects" Target="stylesWithEffects.xml" Id="rId4" /><Relationship Type="http://schemas.openxmlformats.org/officeDocument/2006/relationships/customXml" Target="../customXml/item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8970033F315F542A2D9640B7CC02236" ma:contentTypeVersion="16" ma:contentTypeDescription="Create a new document." ma:contentTypeScope="" ma:versionID="94449e8ff35cec47b43afd2e381d9e90">
  <xsd:schema xmlns:xsd="http://www.w3.org/2001/XMLSchema" xmlns:xs="http://www.w3.org/2001/XMLSchema" xmlns:p="http://schemas.microsoft.com/office/2006/metadata/properties" xmlns:ns2="b0bf4113-6f4a-4f3e-b5bb-503c4d9102e3" xmlns:ns3="c8670835-afc4-4376-8ae0-1ffed5b27e6b" targetNamespace="http://schemas.microsoft.com/office/2006/metadata/properties" ma:root="true" ma:fieldsID="f7f21ad7dc1dad656b5a5a7699096a32" ns2:_="" ns3:_="">
    <xsd:import namespace="b0bf4113-6f4a-4f3e-b5bb-503c4d9102e3"/>
    <xsd:import namespace="c8670835-afc4-4376-8ae0-1ffed5b27e6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f4113-6f4a-4f3e-b5bb-503c4d910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670835-afc4-4376-8ae0-1ffed5b27e6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285086d2-6a15-4a00-bd68-213e1ec481f2}" ma:internalName="TaxCatchAll" ma:showField="CatchAllData" ma:web="c8670835-afc4-4376-8ae0-1ffed5b27e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8670835-afc4-4376-8ae0-1ffed5b27e6b" xsi:nil="true"/>
    <lcf76f155ced4ddcb4097134ff3c332f xmlns="b0bf4113-6f4a-4f3e-b5bb-503c4d9102e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D695605-A402-4AEF-8530-69ECB59F97D5}"/>
</file>

<file path=customXml/itemProps3.xml><?xml version="1.0" encoding="utf-8"?>
<ds:datastoreItem xmlns:ds="http://schemas.openxmlformats.org/officeDocument/2006/customXml" ds:itemID="{9E9547C3-8B48-4118-89F5-C847CC9AED65}"/>
</file>

<file path=customXml/itemProps4.xml><?xml version="1.0" encoding="utf-8"?>
<ds:datastoreItem xmlns:ds="http://schemas.openxmlformats.org/officeDocument/2006/customXml" ds:itemID="{82049606-7C2F-49B9-86C3-E4CBC551263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Danae franco Lopera</lastModifiedBy>
  <revision>4</revision>
  <dcterms:created xsi:type="dcterms:W3CDTF">2013-12-23T23:15:00.0000000Z</dcterms:created>
  <dcterms:modified xsi:type="dcterms:W3CDTF">2025-09-13T17:31:00.1108166Z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0x01010098970033F315F542A2D9640B7CC02236</vt:lpwstr>
  </property>
  <property fmtid="{D5CDD505-2E9C-101B-9397-08002B2CF9AE}" pid="3" name="MediaServiceImageTags">
    <vt:lpwstr/>
  </property>
</Properties>
</file>