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2327EB5F" w:rsidRDefault="2327EB5F" w14:paraId="7844DF4B" w14:textId="6B88C606">
      <w:r w:rsidR="2327EB5F">
        <w:rPr/>
        <w:t>Welcome to Chapter Two: Ensuring a Just Transition for Workers and Affected Communities.</w:t>
      </w:r>
    </w:p>
    <w:p w:rsidR="3A59744C" w:rsidRDefault="3A59744C" w14:paraId="6AB0555B" w14:textId="157FF17E">
      <w:r w:rsidRPr="0BD2AAC1" w:rsidR="3A59744C">
        <w:rPr>
          <w:rFonts w:ascii="Cambria" w:hAnsi="Cambria" w:eastAsia="Cambria" w:cs="Cambria"/>
          <w:noProof w:val="0"/>
          <w:sz w:val="22"/>
          <w:szCs w:val="22"/>
          <w:lang w:val="en-US"/>
        </w:rPr>
        <w:t xml:space="preserve">The transition to renewable energy extends far beyond infrastructure. It touches on rights, livelihoods, and community well-being. </w:t>
      </w:r>
      <w:r w:rsidRPr="0BD2AAC1" w:rsidR="624A9508">
        <w:rPr>
          <w:rFonts w:ascii="Cambria" w:hAnsi="Cambria" w:eastAsia="Cambria" w:cs="Cambria"/>
          <w:noProof w:val="0"/>
          <w:sz w:val="22"/>
          <w:szCs w:val="22"/>
          <w:lang w:val="en-US"/>
        </w:rPr>
        <w:t>Over the past decades, extensive documentation by international organizations and research institutions has revealed persistent and systemic challenges linked to renewable energy projects.</w:t>
      </w:r>
      <w:r w:rsidRPr="0BD2AAC1" w:rsidR="3A59744C">
        <w:rPr>
          <w:rFonts w:ascii="Cambria" w:hAnsi="Cambria" w:eastAsia="Cambria" w:cs="Cambria"/>
          <w:noProof w:val="0"/>
          <w:sz w:val="22"/>
          <w:szCs w:val="22"/>
          <w:lang w:val="en-US"/>
        </w:rPr>
        <w:t xml:space="preserve"> These include contested land acquisition, the displacement of communities, and labor rights violations in mineral supply chains that supply critical resources such as lithium and cobalt. </w:t>
      </w:r>
      <w:r w:rsidR="3A59744C">
        <w:rPr/>
        <w:t>Addressing these challenges requires clear legal safeguards, enforcement mechanisms, and strong participation of the groups directly affected</w:t>
      </w:r>
    </w:p>
    <w:p w:rsidR="2327EB5F" w:rsidP="0BD2AAC1" w:rsidRDefault="2327EB5F" w14:paraId="454893DC" w14:textId="31DBECA2">
      <w:pPr>
        <w:pStyle w:val="Normal"/>
      </w:pPr>
      <w:r w:rsidR="2327EB5F">
        <w:rPr/>
        <w:t xml:space="preserve">Participation is essential to legitimacy. Free, Prior, and Informed Consent has become </w:t>
      </w:r>
      <w:r w:rsidR="2327EB5F">
        <w:rPr/>
        <w:t>an important tool</w:t>
      </w:r>
      <w:r w:rsidR="2327EB5F">
        <w:rPr/>
        <w:t xml:space="preserve"> for ensuring that Indigenous peoples and local communities can influence energy projects from the start. In Colombia, for instance, the </w:t>
      </w:r>
      <w:r w:rsidR="2327EB5F">
        <w:rPr/>
        <w:t>Wayúu</w:t>
      </w:r>
      <w:r w:rsidR="2327EB5F">
        <w:rPr/>
        <w:t xml:space="preserve"> people are working through intercultural platforms that recognize traditional governance systems and integrate gender perspectives into project design. This type of collaboration has reduced conflict and allowed renewable initiatives to move forward on terms defined jointly with communities.</w:t>
      </w:r>
    </w:p>
    <w:p w:rsidR="2327EB5F" w:rsidP="0BD2AAC1" w:rsidRDefault="2327EB5F" w14:paraId="3A68FE0D" w14:textId="53B62092">
      <w:pPr>
        <w:pStyle w:val="Normal"/>
      </w:pPr>
      <w:r w:rsidR="2327EB5F">
        <w:rPr/>
        <w:t>International agreements also shape standards for fairness. The Escazú Agreement of two thousand eighteen is the first regional treaty in Latin America and the Caribbean to establish legally binding commitments on access to information, public participation, and protection of environmental defenders. By linking environmental management with civil and political rights, it creates a framework that can guide national governments in balancing climate goals with social equity.</w:t>
      </w:r>
    </w:p>
    <w:p w:rsidR="2327EB5F" w:rsidP="0BD2AAC1" w:rsidRDefault="2327EB5F" w14:paraId="3F4415F5" w14:textId="4873510F">
      <w:pPr>
        <w:pStyle w:val="Normal"/>
      </w:pPr>
      <w:r w:rsidR="2327EB5F">
        <w:rPr/>
        <w:t>Employment is another central dimension. Projections by the International Renewable Energy Agency estimate that the global renewable sector could support more than thirty million jobs by two thousand thirty. Yet job creation has been uneven. Many positions are concentrated in advanced economies or urban centers, leaving coal and oil regions without clear alternatives. Addressing this imbalance requires policies that fund retraining, support local entrepreneurship, and encourage investment in regions that are economically dependent on fossil fuels.</w:t>
      </w:r>
    </w:p>
    <w:p w:rsidR="2327EB5F" w:rsidP="0BD2AAC1" w:rsidRDefault="2327EB5F" w14:paraId="0300463B" w14:textId="2BF822A1">
      <w:pPr>
        <w:pStyle w:val="Normal"/>
      </w:pPr>
      <w:r w:rsidR="2327EB5F">
        <w:rPr/>
        <w:t>Gender equality is closely connected to these questions of inclusion. Women currently represent less than one-third of the workforce in the renewable energy sector and are significantly underrepresented in leadership roles. Studies show that targeted measures—such as scholarships for technical education, mentorship networks, and workplace policies that account for care responsibilities—improve women’s participation and leadership. These measures also strengthen organizational performance and broaden the pool of skills available to the energy transition.</w:t>
      </w:r>
    </w:p>
    <w:p w:rsidR="2327EB5F" w:rsidP="0BD2AAC1" w:rsidRDefault="2327EB5F" w14:paraId="0650B226" w14:textId="7290E2EE">
      <w:pPr>
        <w:pStyle w:val="Normal"/>
      </w:pPr>
      <w:r w:rsidR="2327EB5F">
        <w:rPr/>
        <w:t>Social protection completes the picture. Without safety nets, households already living in poverty are at risk of being further marginalized during periods of rising energy costs or economic restructuring. Well-designed subsidies and cash transfer programs, developed with community input and accurate local data, can prevent energy poverty and maintain social stability during the transition.</w:t>
      </w:r>
    </w:p>
    <w:p w:rsidR="2327EB5F" w:rsidP="0BD2AAC1" w:rsidRDefault="2327EB5F" w14:paraId="3B035D31" w14:textId="34203397">
      <w:pPr>
        <w:pStyle w:val="Normal"/>
      </w:pPr>
      <w:r w:rsidR="2327EB5F">
        <w:rPr/>
        <w:t>This chapter examines these social dimensions in detail. By the end, you will be able to identify practical approaches to protect rights, expand opportunities, and share the benefits of clean energy fairly across workers and communities.</w:t>
      </w: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D2AAC1"/>
    <w:rsid w:val="13BB8961"/>
    <w:rsid w:val="19B3CBF2"/>
    <w:rsid w:val="1CBA46D2"/>
    <w:rsid w:val="2327EB5F"/>
    <w:rsid w:val="3845F879"/>
    <w:rsid w:val="3A59744C"/>
    <w:rsid w:val="4055B3F7"/>
    <w:rsid w:val="4CBB5757"/>
    <w:rsid w:val="5975A833"/>
    <w:rsid w:val="610B4DE3"/>
    <w:rsid w:val="624A9508"/>
    <w:rsid w:val="724A89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F97B1289-D5DC-4AAC-A57C-5E427B20554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tyles" Target="styles.xml" Id="rId3"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webSettings" Target="webSettings.xml" Id="rId6" /><Relationship Type="http://schemas.openxmlformats.org/officeDocument/2006/relationships/customXml" Target="../customXml/item1.xml" Id="rId1" /><Relationship Type="http://schemas.openxmlformats.org/officeDocument/2006/relationships/customXml" Target="../customXml/item4.xml" Id="rId11" /><Relationship Type="http://schemas.openxmlformats.org/officeDocument/2006/relationships/settings" Target="settings.xml" Id="rId5" /><Relationship Type="http://schemas.openxmlformats.org/officeDocument/2006/relationships/customXml" Target="../customXml/item3.xml" Id="rId10" /><Relationship Type="http://schemas.microsoft.com/office/2007/relationships/stylesWithEffects" Target="stylesWithEffects.xml" Id="rId4" /><Relationship Type="http://schemas.openxmlformats.org/officeDocument/2006/relationships/customXml" Target="../customXml/item2.xml"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98970033F315F542A2D9640B7CC02236" ma:contentTypeVersion="16" ma:contentTypeDescription="Create a new document." ma:contentTypeScope="" ma:versionID="94449e8ff35cec47b43afd2e381d9e90">
  <xsd:schema xmlns:xsd="http://www.w3.org/2001/XMLSchema" xmlns:xs="http://www.w3.org/2001/XMLSchema" xmlns:p="http://schemas.microsoft.com/office/2006/metadata/properties" xmlns:ns2="b0bf4113-6f4a-4f3e-b5bb-503c4d9102e3" xmlns:ns3="c8670835-afc4-4376-8ae0-1ffed5b27e6b" targetNamespace="http://schemas.microsoft.com/office/2006/metadata/properties" ma:root="true" ma:fieldsID="f7f21ad7dc1dad656b5a5a7699096a32" ns2:_="" ns3:_="">
    <xsd:import namespace="b0bf4113-6f4a-4f3e-b5bb-503c4d9102e3"/>
    <xsd:import namespace="c8670835-afc4-4376-8ae0-1ffed5b27e6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SearchProperties" minOccurs="0"/>
                <xsd:element ref="ns2:MediaServiceDateTaken"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bf4113-6f4a-4f3e-b5bb-503c4d9102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f8ebb0a5-c57d-4c3a-bec7-8a38252dd05c"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8670835-afc4-4376-8ae0-1ffed5b27e6b"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285086d2-6a15-4a00-bd68-213e1ec481f2}" ma:internalName="TaxCatchAll" ma:showField="CatchAllData" ma:web="c8670835-afc4-4376-8ae0-1ffed5b27e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8670835-afc4-4376-8ae0-1ffed5b27e6b" xsi:nil="true"/>
    <lcf76f155ced4ddcb4097134ff3c332f xmlns="b0bf4113-6f4a-4f3e-b5bb-503c4d9102e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D140B6D9-2DC2-494D-A5F0-AE4F7C54E7F7}"/>
</file>

<file path=customXml/itemProps3.xml><?xml version="1.0" encoding="utf-8"?>
<ds:datastoreItem xmlns:ds="http://schemas.openxmlformats.org/officeDocument/2006/customXml" ds:itemID="{10655758-88F7-4AA0-89F6-727E1185D057}"/>
</file>

<file path=customXml/itemProps4.xml><?xml version="1.0" encoding="utf-8"?>
<ds:datastoreItem xmlns:ds="http://schemas.openxmlformats.org/officeDocument/2006/customXml" ds:itemID="{8A320120-D971-4AD2-8E6E-2695BFDC2C8F}"/>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Danae franco Lopera</cp:lastModifiedBy>
  <cp:revision>3</cp:revision>
  <dcterms:created xsi:type="dcterms:W3CDTF">2013-12-23T23:15:00Z</dcterms:created>
  <dcterms:modified xsi:type="dcterms:W3CDTF">2025-09-13T17:50:40Z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0x01010098970033F315F542A2D9640B7CC02236</vt:lpwstr>
  </property>
  <property fmtid="{D5CDD505-2E9C-101B-9397-08002B2CF9AE}" pid="3" name="MediaServiceImageTags">
    <vt:lpwstr/>
  </property>
  <property fmtid="{D5CDD505-2E9C-101B-9397-08002B2CF9AE}" pid="5" name="docLang">
    <vt:lpwstr>en</vt:lpwstr>
  </property>
</Properties>
</file>