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24BEF358" w:rsidP="02CD81E7" w:rsidRDefault="24BEF358" w14:paraId="12E86BBC" w14:textId="3EDD39A4">
      <w:pPr>
        <w:spacing w:before="240" w:beforeAutospacing="off" w:after="240" w:afterAutospacing="off"/>
      </w:pPr>
      <w:r w:rsidRPr="02CD81E7" w:rsidR="24BEF358">
        <w:rPr>
          <w:rFonts w:ascii="Cambria" w:hAnsi="Cambria" w:eastAsia="Cambria" w:cs="Cambria"/>
          <w:b w:val="1"/>
          <w:bCs w:val="1"/>
          <w:noProof w:val="0"/>
          <w:color w:val="000000" w:themeColor="text1" w:themeTint="FF" w:themeShade="FF"/>
          <w:sz w:val="22"/>
          <w:szCs w:val="22"/>
          <w:lang w:val="en-US"/>
        </w:rPr>
        <w:t>Welcome to Module 6: Exploring the Energy–Climate Nexus</w:t>
      </w:r>
      <w:r w:rsidRPr="02CD81E7" w:rsidR="24BEF358">
        <w:rPr>
          <w:rFonts w:ascii="Cambria" w:hAnsi="Cambria" w:eastAsia="Cambria" w:cs="Cambria"/>
          <w:noProof w:val="0"/>
          <w:color w:val="000000" w:themeColor="text1" w:themeTint="FF" w:themeShade="FF"/>
          <w:sz w:val="22"/>
          <w:szCs w:val="22"/>
          <w:lang w:val="en-US"/>
        </w:rPr>
        <w:t xml:space="preserve"> </w:t>
      </w:r>
    </w:p>
    <w:p w:rsidR="0B126D0C" w:rsidP="02CD81E7" w:rsidRDefault="0B126D0C" w14:paraId="3E9423C2" w14:textId="28F168B7">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Energy is the single largest source of global greenhouse gas emissions, yet it also holds the key to climate solutions. This module takes a holistic view of how energy systems drive emissions, the pathways for reducing them, and the strategies for adapting to climate impacts while safeguarding equity and resilience.</w:t>
      </w:r>
    </w:p>
    <w:p w:rsidR="0B126D0C" w:rsidP="02CD81E7" w:rsidRDefault="0B126D0C" w14:paraId="0D90352B" w14:textId="708BBD8D">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We begin by mapping the full energy chain—production, distribution, and use—to reveal where emissions arise and where the greatest opportunities for reduction exist. We examine power generation, transport, industry, buildings, and land use, showing how entrenched fossil-fuel dependence, long-lived assets, and subsidies create carbon lock-in and why a just transition with social protections is essential.</w:t>
      </w:r>
    </w:p>
    <w:p w:rsidR="0B126D0C" w:rsidP="02CD81E7" w:rsidRDefault="0B126D0C" w14:paraId="4E0B2003" w14:textId="4AED3C70">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Building on this foundation, we explore how decarbonization can be achieved across the economy. We highlight electrification, low-carbon fuels, and process changes in hard-to-abate sectors; spotlight innovations such as green hydrogen, large-scale storage, and digital solutions; and explain how energy efficiency and smarter demand can deliver immediate emission cuts, lower costs, and ease pressure on infrastructure.</w:t>
      </w:r>
    </w:p>
    <w:p w:rsidR="0B126D0C" w:rsidP="02CD81E7" w:rsidRDefault="0B126D0C" w14:paraId="4545C04A" w14:textId="21E88822">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 xml:space="preserve">Finally, we address the climate impacts already underway. We </w:t>
      </w:r>
      <w:r w:rsidRPr="02CD81E7" w:rsidR="3311AB8E">
        <w:rPr>
          <w:rFonts w:ascii="Cambria" w:hAnsi="Cambria" w:eastAsia="Cambria" w:cs="Cambria"/>
          <w:noProof w:val="0"/>
          <w:color w:val="000000" w:themeColor="text1" w:themeTint="FF" w:themeShade="FF"/>
          <w:sz w:val="22"/>
          <w:szCs w:val="22"/>
          <w:lang w:val="en-US"/>
        </w:rPr>
        <w:t>analyze</w:t>
      </w:r>
      <w:r w:rsidRPr="02CD81E7" w:rsidR="0B126D0C">
        <w:rPr>
          <w:rFonts w:ascii="Cambria" w:hAnsi="Cambria" w:eastAsia="Cambria" w:cs="Cambria"/>
          <w:noProof w:val="0"/>
          <w:color w:val="000000" w:themeColor="text1" w:themeTint="FF" w:themeShade="FF"/>
          <w:sz w:val="22"/>
          <w:szCs w:val="22"/>
          <w:lang w:val="en-US"/>
        </w:rPr>
        <w:t xml:space="preserve"> how extreme heat, floods, storms, sea-level rise, and drought threaten energy access and reliability, and present strategies for climate-resilient infrastructure, diversified and decentralized energy systems, and the integration of climate risk into planning and finance. Throughout, we </w:t>
      </w:r>
      <w:r w:rsidRPr="02CD81E7" w:rsidR="0615A5FC">
        <w:rPr>
          <w:rFonts w:ascii="Cambria" w:hAnsi="Cambria" w:eastAsia="Cambria" w:cs="Cambria"/>
          <w:noProof w:val="0"/>
          <w:color w:val="000000" w:themeColor="text1" w:themeTint="FF" w:themeShade="FF"/>
          <w:sz w:val="22"/>
          <w:szCs w:val="22"/>
          <w:lang w:val="en-US"/>
        </w:rPr>
        <w:t>emphasize</w:t>
      </w:r>
      <w:r w:rsidRPr="02CD81E7" w:rsidR="0B126D0C">
        <w:rPr>
          <w:rFonts w:ascii="Cambria" w:hAnsi="Cambria" w:eastAsia="Cambria" w:cs="Cambria"/>
          <w:noProof w:val="0"/>
          <w:color w:val="000000" w:themeColor="text1" w:themeTint="FF" w:themeShade="FF"/>
          <w:sz w:val="22"/>
          <w:szCs w:val="22"/>
          <w:lang w:val="en-US"/>
        </w:rPr>
        <w:t xml:space="preserve"> coherent policy, coordinated financing, and inclusive governance to ensure that resilience measures protect the most vulnerable while reinforcing development and decarbonization goals.</w:t>
      </w:r>
    </w:p>
    <w:p w:rsidR="0B126D0C" w:rsidP="02CD81E7" w:rsidRDefault="0B126D0C" w14:paraId="1D33CC7A" w14:textId="2EC6872E">
      <w:pPr>
        <w:spacing w:before="240" w:beforeAutospacing="off" w:after="240" w:afterAutospacing="off"/>
      </w:pPr>
      <w:r w:rsidRPr="02CD81E7" w:rsidR="0B126D0C">
        <w:rPr>
          <w:rFonts w:ascii="Cambria" w:hAnsi="Cambria" w:eastAsia="Cambria" w:cs="Cambria"/>
          <w:noProof w:val="0"/>
          <w:color w:val="000000" w:themeColor="text1" w:themeTint="FF" w:themeShade="FF"/>
          <w:sz w:val="22"/>
          <w:szCs w:val="22"/>
          <w:lang w:val="en-US"/>
        </w:rPr>
        <w:t>Taken together, these elements equip you to understand the full landscape of energy, mitigation, innovation, and adaptation—and to apply integrated approaches that deliver a net-zero, climate-resilient future.</w:t>
      </w:r>
    </w:p>
    <w:p w:rsidR="02CD81E7" w:rsidRDefault="02CD81E7" w14:paraId="30B6586A" w14:textId="41AB9221"/>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D81E7"/>
    <w:rsid w:val="05397C99"/>
    <w:rsid w:val="0615A5FC"/>
    <w:rsid w:val="0AC74CEC"/>
    <w:rsid w:val="0AC74CEC"/>
    <w:rsid w:val="0B126D0C"/>
    <w:rsid w:val="0F5F8802"/>
    <w:rsid w:val="23069E7A"/>
    <w:rsid w:val="24BEF358"/>
    <w:rsid w:val="3311AB8E"/>
    <w:rsid w:val="441E1BE1"/>
    <w:rsid w:val="4431B8BF"/>
    <w:rsid w:val="4C60A735"/>
    <w:rsid w:val="5A77F4F8"/>
    <w:rsid w:val="5B2D5344"/>
    <w:rsid w:val="738DFC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0B65666-47D4-4758-B46B-03E5F36036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3324AF-A6A3-445F-9134-40B93CE48C30}"/>
</file>

<file path=customXml/itemProps3.xml><?xml version="1.0" encoding="utf-8"?>
<ds:datastoreItem xmlns:ds="http://schemas.openxmlformats.org/officeDocument/2006/customXml" ds:itemID="{EF19A1C4-510C-4F34-9683-FA0957E2C79F}"/>
</file>

<file path=customXml/itemProps4.xml><?xml version="1.0" encoding="utf-8"?>
<ds:datastoreItem xmlns:ds="http://schemas.openxmlformats.org/officeDocument/2006/customXml" ds:itemID="{7A299200-C232-490B-8AE3-B003365C56C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Farida Razaqi</lastModifiedBy>
  <revision>5</revision>
  <dcterms:created xsi:type="dcterms:W3CDTF">2013-12-23T23:15:00.0000000Z</dcterms:created>
  <dcterms:modified xsi:type="dcterms:W3CDTF">2025-09-13T15:07:25.0635243Z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