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A8CE0FD" w:rsidP="568C4CCD" w:rsidRDefault="5A8CE0FD" w14:paraId="02D11B48" w14:textId="2C7C7BF8">
      <w:pPr>
        <w:spacing w:before="240" w:beforeAutospacing="off" w:after="240" w:afterAutospacing="off"/>
      </w:pP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>In this module, we explore how technology, policy, and innovation are reshaping global energy systems.</w:t>
      </w:r>
    </w:p>
    <w:p w:rsidR="5A8CE0FD" w:rsidP="568C4CCD" w:rsidRDefault="5A8CE0FD" w14:paraId="0E251519" w14:textId="3272157A">
      <w:pPr>
        <w:spacing w:before="240" w:beforeAutospacing="off" w:after="240" w:afterAutospacing="off"/>
      </w:pP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>Electricity demand is rising fast, driven by urbanization, demographic change, and a growing middle class in emerging economies. This surge will intensify the need for cooling, appliances, and electrification.</w:t>
      </w:r>
    </w:p>
    <w:p w:rsidR="5A8CE0FD" w:rsidP="568C4CCD" w:rsidRDefault="5A8CE0FD" w14:paraId="68BF7BDA" w14:textId="3E609CFF">
      <w:pPr>
        <w:spacing w:before="240" w:beforeAutospacing="off" w:after="240" w:afterAutospacing="off"/>
      </w:pP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>Digitalization and artificial intelligence can boost efficiency and enable smarter grid management — but they also increase energy use and bring cybersecurity risks, making investment in resilient infrastructure essential.</w:t>
      </w:r>
    </w:p>
    <w:p w:rsidR="5A8CE0FD" w:rsidP="568C4CCD" w:rsidRDefault="5A8CE0FD" w14:paraId="70DCB7A6" w14:textId="51D4B547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On the supply side, renewables are expanding rapidly. </w:t>
      </w:r>
      <w:r w:rsidRPr="568C4CCD" w:rsidR="5A8CE0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Solar PV is expected to account for </w:t>
      </w:r>
      <w:r w:rsidRPr="568C4CCD" w:rsidR="5A8CE0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nearly 80%</w:t>
      </w:r>
      <w:r w:rsidRPr="568C4CCD" w:rsidR="5A8CE0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of new renewable capacity through 2030</w:t>
      </w: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while </w:t>
      </w:r>
      <w:r w:rsidRPr="568C4CCD" w:rsidR="5A8CE0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offshore wind is projected to scale from about 9.5 GW in 2023 to over 45 GW annually by 2030</w:t>
      </w: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5A8CE0FD" w:rsidP="568C4CCD" w:rsidRDefault="5A8CE0FD" w14:paraId="16D4868A" w14:textId="5AD9EFB8">
      <w:pPr>
        <w:spacing w:before="240" w:beforeAutospacing="off" w:after="240" w:afterAutospacing="off"/>
      </w:pP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Looking ahead, in pathways consistent with limiting warming to 1.5°C, </w:t>
      </w:r>
      <w:r w:rsidRPr="568C4CCD" w:rsidR="5A8CE0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renewables could provide nearly 90% of global electricity by 2050</w:t>
      </w: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>, with solar and wind alone delivering about 70%. Achieving this will require careful planning to balance land use, environmental impacts, and social equity.</w:t>
      </w:r>
    </w:p>
    <w:p w:rsidR="5A8CE0FD" w:rsidP="568C4CCD" w:rsidRDefault="5A8CE0FD" w14:paraId="3E2CEB96" w14:textId="7AA686E3">
      <w:pPr>
        <w:spacing w:before="240" w:beforeAutospacing="off" w:after="240" w:afterAutospacing="off"/>
      </w:pPr>
      <w:r w:rsidRPr="568C4CCD" w:rsidR="5A8CE0FD">
        <w:rPr>
          <w:rFonts w:ascii="Cambria" w:hAnsi="Cambria" w:eastAsia="Cambria" w:cs="Cambria"/>
          <w:noProof w:val="0"/>
          <w:sz w:val="22"/>
          <w:szCs w:val="22"/>
          <w:lang w:val="en-US"/>
        </w:rPr>
        <w:t>This transition brings challenges, but also immense opportunities. Supportive policies, technological breakthroughs, and inclusive strategies can accelerate innovation — building a sustainable, resilient, and equitable energy future.</w:t>
      </w:r>
    </w:p>
    <w:p w:rsidR="568C4CCD" w:rsidRDefault="568C4CCD" w14:paraId="0FDE8034" w14:textId="028FE026"/>
    <w:sectPr w:rsidR="009C1DF8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47018649">
    <w:abstractNumId w:val="8"/>
  </w:num>
  <w:num w:numId="2" w16cid:durableId="2095466787">
    <w:abstractNumId w:val="6"/>
  </w:num>
  <w:num w:numId="3" w16cid:durableId="91627594">
    <w:abstractNumId w:val="5"/>
  </w:num>
  <w:num w:numId="4" w16cid:durableId="234323799">
    <w:abstractNumId w:val="4"/>
  </w:num>
  <w:num w:numId="5" w16cid:durableId="1087505387">
    <w:abstractNumId w:val="7"/>
  </w:num>
  <w:num w:numId="6" w16cid:durableId="1427456221">
    <w:abstractNumId w:val="3"/>
  </w:num>
  <w:num w:numId="7" w16cid:durableId="346642615">
    <w:abstractNumId w:val="2"/>
  </w:num>
  <w:num w:numId="8" w16cid:durableId="1146438580">
    <w:abstractNumId w:val="1"/>
  </w:num>
  <w:num w:numId="9" w16cid:durableId="76646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710F95"/>
    <w:rsid w:val="009C1DF8"/>
    <w:rsid w:val="00AA1D8D"/>
    <w:rsid w:val="00B47730"/>
    <w:rsid w:val="00CB0664"/>
    <w:rsid w:val="00E349B0"/>
    <w:rsid w:val="00FC693F"/>
    <w:rsid w:val="06F09273"/>
    <w:rsid w:val="082AEE5F"/>
    <w:rsid w:val="0C18575E"/>
    <w:rsid w:val="0C67AD54"/>
    <w:rsid w:val="0D686CC2"/>
    <w:rsid w:val="106B50DF"/>
    <w:rsid w:val="16FE322C"/>
    <w:rsid w:val="20D836C7"/>
    <w:rsid w:val="24B8F680"/>
    <w:rsid w:val="2845344F"/>
    <w:rsid w:val="28FAA398"/>
    <w:rsid w:val="2BB574E6"/>
    <w:rsid w:val="2F7C9F20"/>
    <w:rsid w:val="32E556ED"/>
    <w:rsid w:val="359CC341"/>
    <w:rsid w:val="396AB213"/>
    <w:rsid w:val="421EB87B"/>
    <w:rsid w:val="43847AA5"/>
    <w:rsid w:val="4FC25DE5"/>
    <w:rsid w:val="4FCC9D0A"/>
    <w:rsid w:val="560EE9C9"/>
    <w:rsid w:val="568C4CCD"/>
    <w:rsid w:val="585AAEA3"/>
    <w:rsid w:val="5A8CE0FD"/>
    <w:rsid w:val="5E9284D9"/>
    <w:rsid w:val="627E3760"/>
    <w:rsid w:val="6674BBC7"/>
    <w:rsid w:val="668D9B92"/>
    <w:rsid w:val="6D24A319"/>
    <w:rsid w:val="6EA01AED"/>
    <w:rsid w:val="6EF88A09"/>
    <w:rsid w:val="746615AF"/>
    <w:rsid w:val="74CFF8FF"/>
    <w:rsid w:val="76C0B5B0"/>
    <w:rsid w:val="78FEC597"/>
    <w:rsid w:val="7AB47614"/>
    <w:rsid w:val="7E638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888AD3-71FE-43A2-BA7B-B084A0977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94449e8ff35cec47b43afd2e381d9e90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f7f21ad7dc1dad656b5a5a7699096a32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A3310D-646E-4683-8B85-697C3DAA0220}">
  <ds:schemaRefs>
    <ds:schemaRef ds:uri="http://schemas.microsoft.com/office/2006/metadata/properties"/>
    <ds:schemaRef ds:uri="http://schemas.microsoft.com/office/infopath/2007/PartnerControls"/>
    <ds:schemaRef ds:uri="c8670835-afc4-4376-8ae0-1ffed5b27e6b"/>
    <ds:schemaRef ds:uri="b0bf4113-6f4a-4f3e-b5bb-503c4d9102e3"/>
  </ds:schemaRefs>
</ds:datastoreItem>
</file>

<file path=customXml/itemProps2.xml><?xml version="1.0" encoding="utf-8"?>
<ds:datastoreItem xmlns:ds="http://schemas.openxmlformats.org/officeDocument/2006/customXml" ds:itemID="{BE1C3AF4-85AA-494B-A044-2A864661D4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3DF21C-69D9-4CEB-9DFB-2C33F32623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bf4113-6f4a-4f3e-b5bb-503c4d9102e3"/>
    <ds:schemaRef ds:uri="c8670835-afc4-4376-8ae0-1ffed5b27e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Benjamin Keller</lastModifiedBy>
  <revision>6</revision>
  <dcterms:created xsi:type="dcterms:W3CDTF">2013-12-23T23:15:00.0000000Z</dcterms:created>
  <dcterms:modified xsi:type="dcterms:W3CDTF">2025-09-13T11:04:12.1460085Z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</Properties>
</file>